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6B3FA0" w:val="clear"/>
            <w:tcMar>
              <w:top w:type="dxa" w:w="480"/>
              <w:left w:type="dxa" w:w="360"/>
              <w:bottom w:type="dxa" w:w="480"/>
              <w:right w:type="dxa" w:w="360"/>
            </w:tcMar>
          </w:tcPr>
          <w:p>
            <w:pPr>
              <w:spacing w:after="100"/>
              <w:jc w:val="center"/>
            </w:pPr>
            <w:r>
              <w:rPr>
                <w:rFonts w:ascii="Arial" w:cs="Arial" w:eastAsia="Arial" w:hAnsi="Arial"/>
                <w:b/>
                <w:bCs/>
                <w:color w:val="FFFFFF"/>
                <w:spacing w:val="80"/>
                <w:sz w:val="18"/>
                <w:szCs w:val="18"/>
              </w:rPr>
              <w:t xml:space="preserve">EXPLORER APK  ·  WELCOME GUIDE</w:t>
            </w:r>
          </w:p>
          <w:p>
            <w:pPr>
              <w:spacing w:after="140"/>
              <w:jc w:val="center"/>
            </w:pPr>
            <w:r>
              <w:rPr>
                <w:rFonts w:ascii="Arial" w:cs="Arial" w:eastAsia="Arial" w:hAnsi="Arial"/>
                <w:b/>
                <w:bCs/>
                <w:color w:val="FFFFFF"/>
                <w:sz w:val="44"/>
                <w:szCs w:val="44"/>
              </w:rPr>
              <w:t xml:space="preserve">Your child has a new companion.</w:t>
            </w:r>
          </w:p>
          <w:p>
            <w:pPr>
              <w:spacing w:after="0"/>
              <w:jc w:val="center"/>
            </w:pPr>
            <w:r>
              <w:rPr>
                <w:rFonts w:ascii="Arial" w:cs="Arial" w:eastAsia="Arial" w:hAnsi="Arial"/>
                <w:i/>
                <w:iCs/>
                <w:color w:val="E8DEF7"/>
                <w:sz w:val="20"/>
                <w:szCs w:val="20"/>
              </w:rPr>
              <w:t xml:space="preserve">A short, quiet setup that gives your child a gamified world on their wrist — one that knows them, meets them where they are, and helps them regulate through the hard moments.</w:t>
            </w:r>
          </w:p>
        </w:tc>
      </w:tr>
    </w:tbl>
    <w:p>
      <w:pPr>
        <w:spacing w:after="240" w:before="0"/>
      </w:pPr>
      <w:r>
        <w:rPr>
          <w:rFonts w:ascii="Arial" w:cs="Arial" w:eastAsia="Arial" w:hAnsi="Arial"/>
          <w:b w:val="false"/>
          <w:bCs w:val="false"/>
          <w:i w:val="false"/>
          <w:iCs w:val="false"/>
          <w:color w:val="4A3E2E"/>
          <w:sz w:val="22"/>
          <w:szCs w:val="22"/>
        </w:rPr>
        <w:t xml:space="preserve"/>
      </w:r>
    </w:p>
    <w:p>
      <w:pPr>
        <w:spacing w:after="80" w:before="0"/>
      </w:pPr>
      <w:r>
        <w:rPr>
          <w:rFonts w:ascii="Arial" w:cs="Arial" w:eastAsia="Arial" w:hAnsi="Arial"/>
          <w:b/>
          <w:bCs/>
          <w:color w:val="6B3FA0"/>
          <w:spacing w:val="40"/>
          <w:sz w:val="18"/>
          <w:szCs w:val="18"/>
        </w:rPr>
        <w:t xml:space="preserve">THANK YOU FOR CHOOSING THE SPECIAL NEEDS PROGRAM</w:t>
      </w:r>
    </w:p>
    <w:p>
      <w:pPr>
        <w:spacing w:after="120" w:before="0" w:line="320"/>
        <w:jc w:val="left"/>
      </w:pPr>
      <w:r>
        <w:rPr>
          <w:rFonts w:ascii="Arial" w:cs="Arial" w:eastAsia="Arial" w:hAnsi="Arial"/>
          <w:b w:val="false"/>
          <w:bCs w:val="false"/>
          <w:i w:val="false"/>
          <w:iCs w:val="false"/>
          <w:color w:val="4A3E2E"/>
          <w:sz w:val="22"/>
          <w:szCs w:val="22"/>
        </w:rPr>
        <w:t xml:space="preserve"/>
      </w:r>
    </w:p>
    <w:p>
      <w:pPr>
        <w:spacing w:after="180" w:before="0" w:line="320"/>
        <w:jc w:val="left"/>
      </w:pPr>
      <w:r>
        <w:rPr>
          <w:rFonts w:ascii="Arial" w:cs="Arial" w:eastAsia="Arial" w:hAnsi="Arial"/>
          <w:b w:val="false"/>
          <w:bCs w:val="false"/>
          <w:i w:val="false"/>
          <w:iCs w:val="false"/>
          <w:color w:val="4A3E2E"/>
          <w:sz w:val="22"/>
          <w:szCs w:val="22"/>
        </w:rPr>
        <w:t xml:space="preserve">Explorer APK is the child-facing companion that works together with the AlvoTriX Special Needs Detector. While the Detector module watches your child’s autonomic signals quietly in the background, Explorer runs on your phone as a friendly, gamified world of ten therapeutic activities — and sends its calming interventions to your child’s wearable at the moment the AI predicts they are most needed.</w:t>
      </w:r>
    </w:p>
    <w:p>
      <w:pPr>
        <w:spacing w:after="180" w:before="0" w:line="320"/>
        <w:jc w:val="left"/>
      </w:pPr>
      <w:r>
        <w:rPr>
          <w:rFonts w:ascii="Arial" w:cs="Arial" w:eastAsia="Arial" w:hAnsi="Arial"/>
          <w:b w:val="false"/>
          <w:bCs w:val="false"/>
          <w:i w:val="false"/>
          <w:iCs w:val="false"/>
          <w:color w:val="4A3E2E"/>
          <w:sz w:val="22"/>
          <w:szCs w:val="22"/>
        </w:rPr>
        <w:t xml:space="preserve">Your AlvoTriX account was </w:t>
      </w:r>
      <w:r>
        <w:rPr>
          <w:rFonts w:ascii="Arial" w:cs="Arial" w:eastAsia="Arial" w:hAnsi="Arial"/>
          <w:b/>
          <w:bCs/>
          <w:i w:val="false"/>
          <w:iCs w:val="false"/>
          <w:color w:val="1C1408"/>
          <w:sz w:val="22"/>
          <w:szCs w:val="22"/>
        </w:rPr>
        <w:t xml:space="preserve">created automatically when you completed your purchase</w:t>
      </w:r>
      <w:r>
        <w:rPr>
          <w:rFonts w:ascii="Arial" w:cs="Arial" w:eastAsia="Arial" w:hAnsi="Arial"/>
          <w:b w:val="false"/>
          <w:bCs w:val="false"/>
          <w:i w:val="false"/>
          <w:iCs w:val="false"/>
          <w:color w:val="4A3E2E"/>
          <w:sz w:val="22"/>
          <w:szCs w:val="22"/>
        </w:rPr>
        <w:t xml:space="preserve"> on </w:t>
      </w:r>
      <w:r>
        <w:rPr>
          <w:rFonts w:ascii="Arial" w:cs="Arial" w:eastAsia="Arial" w:hAnsi="Arial"/>
          <w:b/>
          <w:bCs/>
          <w:i w:val="false"/>
          <w:iCs w:val="false"/>
          <w:color w:val="6B3FA0"/>
          <w:sz w:val="22"/>
          <w:szCs w:val="22"/>
        </w:rPr>
        <w:t xml:space="preserve">www.alvotrix.com</w:t>
      </w:r>
      <w:r>
        <w:rPr>
          <w:rFonts w:ascii="Arial" w:cs="Arial" w:eastAsia="Arial" w:hAnsi="Arial"/>
          <w:b w:val="false"/>
          <w:bCs w:val="false"/>
          <w:i w:val="false"/>
          <w:iCs w:val="false"/>
          <w:color w:val="4A3E2E"/>
          <w:sz w:val="22"/>
          <w:szCs w:val="22"/>
        </w:rPr>
        <w:t xml:space="preserve">. You already have login credentials — the </w:t>
      </w:r>
      <w:r>
        <w:rPr>
          <w:rFonts w:ascii="Arial" w:cs="Arial" w:eastAsia="Arial" w:hAnsi="Arial"/>
          <w:b/>
          <w:bCs/>
          <w:i w:val="false"/>
          <w:iCs w:val="false"/>
          <w:color w:val="1C1408"/>
          <w:sz w:val="22"/>
          <w:szCs w:val="22"/>
        </w:rPr>
        <w:t xml:space="preserve">email address and password</w:t>
      </w:r>
      <w:r>
        <w:rPr>
          <w:rFonts w:ascii="Arial" w:cs="Arial" w:eastAsia="Arial" w:hAnsi="Arial"/>
          <w:b w:val="false"/>
          <w:bCs w:val="false"/>
          <w:i w:val="false"/>
          <w:iCs w:val="false"/>
          <w:color w:val="4A3E2E"/>
          <w:sz w:val="22"/>
          <w:szCs w:val="22"/>
        </w:rPr>
        <w:t xml:space="preserve"> you used at checkout. You will use these same credentials in every step that follows.</w:t>
      </w:r>
    </w:p>
    <w:p>
      <w:pPr>
        <w:spacing w:after="180" w:before="0" w:line="320"/>
        <w:jc w:val="left"/>
      </w:pPr>
      <w:r>
        <w:rPr>
          <w:rFonts w:ascii="Arial" w:cs="Arial" w:eastAsia="Arial" w:hAnsi="Arial"/>
          <w:b w:val="false"/>
          <w:bCs w:val="false"/>
          <w:i w:val="false"/>
          <w:iCs w:val="false"/>
          <w:color w:val="4A3E2E"/>
          <w:sz w:val="22"/>
          <w:szCs w:val="22"/>
        </w:rPr>
        <w:t xml:space="preserve">This guide walks you through the right order to set things up. </w:t>
      </w:r>
      <w:r>
        <w:rPr>
          <w:rFonts w:ascii="Arial" w:cs="Arial" w:eastAsia="Arial" w:hAnsi="Arial"/>
          <w:b/>
          <w:bCs/>
          <w:i w:val="false"/>
          <w:iCs w:val="false"/>
          <w:color w:val="1C1408"/>
          <w:sz w:val="22"/>
          <w:szCs w:val="22"/>
        </w:rPr>
        <w:t xml:space="preserve">Before you sign in to Explorer APK on your phone, create your child’s Wearer on MyAlvoTriX at </w:t>
      </w:r>
      <w:r>
        <w:rPr>
          <w:rFonts w:ascii="Arial" w:cs="Arial" w:eastAsia="Arial" w:hAnsi="Arial"/>
          <w:b/>
          <w:bCs/>
          <w:i w:val="false"/>
          <w:iCs w:val="false"/>
          <w:color w:val="6B3FA0"/>
          <w:sz w:val="22"/>
          <w:szCs w:val="22"/>
        </w:rPr>
        <w:t xml:space="preserve">www.alvotrix.com</w:t>
      </w:r>
      <w:r>
        <w:rPr>
          <w:rFonts w:ascii="Arial" w:cs="Arial" w:eastAsia="Arial" w:hAnsi="Arial"/>
          <w:b/>
          <w:bCs/>
          <w:i w:val="false"/>
          <w:iCs w:val="false"/>
          <w:color w:val="1C1408"/>
          <w:sz w:val="22"/>
          <w:szCs w:val="22"/>
        </w:rPr>
        <w:t xml:space="preserve">.</w:t>
      </w:r>
      <w:r>
        <w:rPr>
          <w:rFonts w:ascii="Arial" w:cs="Arial" w:eastAsia="Arial" w:hAnsi="Arial"/>
          <w:b w:val="false"/>
          <w:bCs w:val="false"/>
          <w:i w:val="false"/>
          <w:iCs w:val="false"/>
          <w:color w:val="4A3E2E"/>
          <w:sz w:val="22"/>
          <w:szCs w:val="22"/>
        </w:rPr>
        <w:t xml:space="preserve"> Explorer needs the Wearer to exist before it can load them — once signed in, Explorer will then ask you to set the condition (Autism, ADHD, or both) and tune itself to your child.</w:t>
      </w:r>
    </w:p>
    <w:p>
      <w:pPr>
        <w:spacing w:after="240" w:before="0" w:line="320"/>
        <w:jc w:val="left"/>
      </w:pPr>
      <w:r>
        <w:rPr>
          <w:rFonts w:ascii="Arial" w:cs="Arial" w:eastAsia="Arial" w:hAnsi="Arial"/>
          <w:b w:val="false"/>
          <w:bCs w:val="false"/>
          <w:i w:val="false"/>
          <w:iCs w:val="false"/>
          <w:color w:val="4A3E2E"/>
          <w:sz w:val="22"/>
          <w:szCs w:val="22"/>
        </w:rPr>
        <w:t xml:space="preserve">Set aside about 10 minutes. You will need your phone, your child’s wearable, and a quiet moment together.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8660"/>
      </w:tblGrid>
      <w:tr>
        <w:tc>
          <w:tcPr>
            <w:tcW w:type="dxa" w:w="700"/>
            <w:tcBorders>
              <w:top w:val="none" w:color="FFFFFF" w:sz="0"/>
              <w:left w:val="none" w:color="FFFFFF" w:sz="0"/>
              <w:bottom w:val="none" w:color="FFFFFF" w:sz="0"/>
              <w:right w:val="none" w:color="FFFFFF" w:sz="0"/>
            </w:tcBorders>
            <w:shd w:fill="E8EFF9" w:val="clear"/>
            <w:tcMar>
              <w:top w:type="dxa" w:w="160"/>
              <w:left w:type="dxa" w:w="160"/>
              <w:bottom w:type="dxa" w:w="160"/>
              <w:right w:type="dxa" w:w="80"/>
            </w:tcMar>
            <w:vAlign w:val="top"/>
          </w:tcPr>
          <w:p>
            <w:pPr>
              <w:jc w:val="center"/>
            </w:pPr>
            <w:r>
              <w:rPr>
                <w:rFonts w:ascii="Arial" w:cs="Arial" w:eastAsia="Arial" w:hAnsi="Arial"/>
                <w:b/>
                <w:bCs/>
                <w:color w:val="1A3F80"/>
                <w:sz w:val="36"/>
                <w:szCs w:val="36"/>
              </w:rPr>
              <w:t xml:space="preserve">i</w:t>
            </w:r>
          </w:p>
        </w:tc>
        <w:tc>
          <w:tcPr>
            <w:tcW w:type="dxa" w:w="8660"/>
            <w:tcBorders>
              <w:top w:val="none" w:color="FFFFFF" w:sz="0"/>
              <w:left w:val="none" w:color="FFFFFF" w:sz="0"/>
              <w:bottom w:val="none" w:color="FFFFFF" w:sz="0"/>
              <w:right w:val="none" w:color="FFFFFF" w:sz="0"/>
            </w:tcBorders>
            <w:shd w:fill="E8EFF9" w:val="clear"/>
            <w:tcMar>
              <w:top w:type="dxa" w:w="160"/>
              <w:left w:type="dxa" w:w="120"/>
              <w:bottom w:type="dxa" w:w="160"/>
              <w:right w:type="dxa" w:w="200"/>
            </w:tcMar>
          </w:tcPr>
          <w:p>
            <w:pPr>
              <w:spacing w:after="80"/>
            </w:pPr>
            <w:r>
              <w:rPr>
                <w:rFonts w:ascii="Arial" w:cs="Arial" w:eastAsia="Arial" w:hAnsi="Arial"/>
                <w:b/>
                <w:bCs/>
                <w:color w:val="1A3F80"/>
                <w:sz w:val="22"/>
                <w:szCs w:val="22"/>
              </w:rPr>
              <w:t xml:space="preserve">The correct order</w:t>
            </w:r>
          </w:p>
          <w:p>
            <w:pPr>
              <w:spacing w:after="0" w:line="300"/>
            </w:pPr>
            <w:r>
              <w:rPr>
                <w:rFonts w:ascii="Arial" w:cs="Arial" w:eastAsia="Arial" w:hAnsi="Arial"/>
                <w:color w:val="4A3E2E"/>
                <w:sz w:val="20"/>
                <w:szCs w:val="20"/>
              </w:rPr>
              <w:t xml:space="preserve">Create the Wearer in MyAlvoTriX first (name, age, emergency contacts). Then install Explorer APK on your phone and sign in. Explorer will then ask you to select the condition (Autism, ADHD, or both) and adapt itself. If you try to sign in to Explorer before the Wearer exists in MyAlvoTriX, there will be nothing for it to load.</w:t>
            </w:r>
          </w:p>
        </w:tc>
      </w:tr>
    </w:tbl>
    <w:p>
      <w:pPr>
        <w:spacing w:after="240" w:before="0"/>
      </w:pPr>
      <w:r>
        <w:rPr>
          <w:rFonts w:ascii="Arial" w:cs="Arial" w:eastAsia="Arial" w:hAnsi="Arial"/>
          <w:b w:val="false"/>
          <w:bCs w:val="false"/>
          <w:i w:val="false"/>
          <w:iCs w:val="false"/>
          <w:color w:val="4A3E2E"/>
          <w:sz w:val="22"/>
          <w:szCs w:val="22"/>
        </w:rPr>
        <w:t xml:space="preserve"/>
      </w:r>
    </w:p>
    <w:p>
      <w:pPr>
        <w:pStyle w:val="Heading1"/>
        <w:spacing w:after="200" w:before="360"/>
      </w:pPr>
      <w:r>
        <w:rPr>
          <w:rFonts w:ascii="Arial" w:cs="Arial" w:eastAsia="Arial" w:hAnsi="Arial"/>
          <w:b/>
          <w:bCs/>
          <w:color w:val="C8301C"/>
          <w:sz w:val="44"/>
          <w:szCs w:val="44"/>
        </w:rPr>
        <w:t xml:space="preserve">Setup in 4 Steps</w:t>
      </w:r>
    </w:p>
    <w:p>
      <w:pPr>
        <w:spacing w:after="120" w:before="0"/>
      </w:pPr>
      <w:r>
        <w:rPr>
          <w:rFonts w:ascii="Arial" w:cs="Arial" w:eastAsia="Arial" w:hAnsi="Arial"/>
          <w:b w:val="false"/>
          <w:bCs w:val="false"/>
          <w:i w:val="false"/>
          <w:iCs w:val="false"/>
          <w:color w:val="4A3E2E"/>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00"/>
        <w:gridCol w:w="8460"/>
      </w:tblGrid>
      <w:tr>
        <w:tc>
          <w:tcPr>
            <w:tcW w:type="dxa" w:w="900"/>
            <w:tcBorders>
              <w:top w:val="none" w:color="FFFFFF" w:sz="0"/>
              <w:left w:val="none" w:color="FFFFFF" w:sz="0"/>
              <w:bottom w:val="none" w:color="FFFFFF" w:sz="0"/>
              <w:right w:val="none" w:color="FFFFFF" w:sz="0"/>
            </w:tcBorders>
            <w:shd w:fill="6B3FA0" w:val="clear"/>
            <w:tcMar>
              <w:top w:type="dxa" w:w="160"/>
              <w:left w:type="dxa" w:w="120"/>
              <w:bottom w:type="dxa" w:w="160"/>
              <w:right w:type="dxa" w:w="120"/>
            </w:tcMar>
            <w:vAlign w:val="center"/>
          </w:tcPr>
          <w:p>
            <w:pPr>
              <w:jc w:val="center"/>
            </w:pPr>
            <w:r>
              <w:rPr>
                <w:rFonts w:ascii="Arial" w:cs="Arial" w:eastAsia="Arial" w:hAnsi="Arial"/>
                <w:b/>
                <w:bCs/>
                <w:color w:val="FFFFFF"/>
                <w:sz w:val="48"/>
                <w:szCs w:val="48"/>
              </w:rPr>
              <w:t xml:space="preserve">1</w:t>
            </w:r>
          </w:p>
        </w:tc>
        <w:tc>
          <w:tcPr>
            <w:tcW w:type="dxa" w:w="8460"/>
            <w:tcBorders>
              <w:top w:val="none" w:color="FFFFFF" w:sz="0"/>
              <w:left w:val="none" w:color="FFFFFF" w:sz="0"/>
              <w:bottom w:val="none" w:color="FFFFFF" w:sz="0"/>
              <w:right w:val="none" w:color="FFFFFF" w:sz="0"/>
            </w:tcBorders>
            <w:shd w:fill="F3EBFA" w:val="clear"/>
            <w:tcMar>
              <w:top w:type="dxa" w:w="180"/>
              <w:left w:type="dxa" w:w="240"/>
              <w:bottom w:type="dxa" w:w="180"/>
              <w:right w:type="dxa" w:w="200"/>
            </w:tcMar>
          </w:tcPr>
          <w:p>
            <w:pPr>
              <w:spacing w:after="100"/>
            </w:pPr>
            <w:r>
              <w:rPr>
                <w:rFonts w:ascii="Arial" w:cs="Arial" w:eastAsia="Arial" w:hAnsi="Arial"/>
                <w:b/>
                <w:bCs/>
                <w:color w:val="6B3FA0"/>
                <w:sz w:val="28"/>
                <w:szCs w:val="28"/>
              </w:rPr>
              <w:t xml:space="preserve">Sign in to MyAlvoTriX</w:t>
            </w:r>
          </w:p>
          <w:p>
            <w:pPr>
              <w:spacing w:after="140" w:before="0" w:line="320"/>
              <w:jc w:val="left"/>
            </w:pPr>
            <w:r>
              <w:rPr>
                <w:rFonts w:ascii="Arial" w:cs="Arial" w:eastAsia="Arial" w:hAnsi="Arial"/>
                <w:b w:val="false"/>
                <w:bCs w:val="false"/>
                <w:i w:val="false"/>
                <w:iCs w:val="false"/>
                <w:color w:val="4A3E2E"/>
                <w:sz w:val="22"/>
                <w:szCs w:val="22"/>
              </w:rPr>
              <w:t xml:space="preserve">Open </w:t>
            </w:r>
            <w:r>
              <w:rPr>
                <w:rFonts w:ascii="Arial" w:cs="Arial" w:eastAsia="Arial" w:hAnsi="Arial"/>
                <w:b/>
                <w:bCs/>
                <w:i w:val="false"/>
                <w:iCs w:val="false"/>
                <w:color w:val="6B3FA0"/>
                <w:sz w:val="22"/>
                <w:szCs w:val="22"/>
              </w:rPr>
              <w:t xml:space="preserve">www.alvotrix.com/myalvotrix.html</w:t>
            </w:r>
            <w:r>
              <w:rPr>
                <w:rFonts w:ascii="Arial" w:cs="Arial" w:eastAsia="Arial" w:hAnsi="Arial"/>
                <w:b w:val="false"/>
                <w:bCs w:val="false"/>
                <w:i w:val="false"/>
                <w:iCs w:val="false"/>
                <w:color w:val="4A3E2E"/>
                <w:sz w:val="22"/>
                <w:szCs w:val="22"/>
              </w:rPr>
              <w:t xml:space="preserve"> in your phone’s browser (or the AlvoTriX user app from the same page). Sign in using the </w:t>
            </w:r>
            <w:r>
              <w:rPr>
                <w:rFonts w:ascii="Arial" w:cs="Arial" w:eastAsia="Arial" w:hAnsi="Arial"/>
                <w:b/>
                <w:bCs/>
                <w:i w:val="false"/>
                <w:iCs w:val="false"/>
                <w:color w:val="1C1408"/>
                <w:sz w:val="22"/>
                <w:szCs w:val="22"/>
              </w:rPr>
              <w:t xml:space="preserve">email address and password</w:t>
            </w:r>
            <w:r>
              <w:rPr>
                <w:rFonts w:ascii="Arial" w:cs="Arial" w:eastAsia="Arial" w:hAnsi="Arial"/>
                <w:b w:val="false"/>
                <w:bCs w:val="false"/>
                <w:i w:val="false"/>
                <w:iCs w:val="false"/>
                <w:color w:val="4A3E2E"/>
                <w:sz w:val="22"/>
                <w:szCs w:val="22"/>
              </w:rPr>
              <w:t xml:space="preserve"> you used when you purchased. Your account is already active — no registration needed.</w:t>
            </w:r>
          </w:p>
          <w:p>
            <w:pPr>
              <w:spacing w:after="120" w:before="0" w:line="320"/>
              <w:jc w:val="left"/>
            </w:pPr>
            <w:r>
              <w:rPr>
                <w:rFonts w:ascii="Arial" w:cs="Arial" w:eastAsia="Arial" w:hAnsi="Arial"/>
                <w:b w:val="false"/>
                <w:bCs w:val="false"/>
                <w:i/>
                <w:iCs/>
                <w:color w:val="8B7B65"/>
                <w:sz w:val="20"/>
                <w:szCs w:val="20"/>
              </w:rPr>
              <w:t xml:space="preserve">If you forgot your password, tap </w:t>
            </w:r>
            <w:r>
              <w:rPr>
                <w:rFonts w:ascii="Arial" w:cs="Arial" w:eastAsia="Arial" w:hAnsi="Arial"/>
                <w:b/>
                <w:bCs/>
                <w:i/>
                <w:iCs/>
                <w:color w:val="6B3FA0"/>
                <w:sz w:val="20"/>
                <w:szCs w:val="20"/>
              </w:rPr>
              <w:t xml:space="preserve">Forgot password</w:t>
            </w:r>
            <w:r>
              <w:rPr>
                <w:rFonts w:ascii="Arial" w:cs="Arial" w:eastAsia="Arial" w:hAnsi="Arial"/>
                <w:b w:val="false"/>
                <w:bCs w:val="false"/>
                <w:i/>
                <w:iCs/>
                <w:color w:val="8B7B65"/>
                <w:sz w:val="20"/>
                <w:szCs w:val="20"/>
              </w:rPr>
              <w:t xml:space="preserve"> on the sign-in screen. A reset link will be sent to your email within a minute.</w:t>
            </w:r>
          </w:p>
        </w:tc>
      </w:tr>
    </w:tbl>
    <w:p>
      <w:pPr>
        <w:spacing w:after="200" w:before="0"/>
      </w:pPr>
      <w:r>
        <w:rPr>
          <w:rFonts w:ascii="Arial" w:cs="Arial" w:eastAsia="Arial" w:hAnsi="Arial"/>
          <w:b w:val="false"/>
          <w:bCs w:val="false"/>
          <w:i w:val="false"/>
          <w:iCs w:val="false"/>
          <w:color w:val="4A3E2E"/>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00"/>
        <w:gridCol w:w="8460"/>
      </w:tblGrid>
      <w:tr>
        <w:tc>
          <w:tcPr>
            <w:tcW w:type="dxa" w:w="900"/>
            <w:tcBorders>
              <w:top w:val="none" w:color="FFFFFF" w:sz="0"/>
              <w:left w:val="none" w:color="FFFFFF" w:sz="0"/>
              <w:bottom w:val="none" w:color="FFFFFF" w:sz="0"/>
              <w:right w:val="none" w:color="FFFFFF" w:sz="0"/>
            </w:tcBorders>
            <w:shd w:fill="6B3FA0" w:val="clear"/>
            <w:tcMar>
              <w:top w:type="dxa" w:w="160"/>
              <w:left w:type="dxa" w:w="120"/>
              <w:bottom w:type="dxa" w:w="160"/>
              <w:right w:type="dxa" w:w="120"/>
            </w:tcMar>
            <w:vAlign w:val="center"/>
          </w:tcPr>
          <w:p>
            <w:pPr>
              <w:jc w:val="center"/>
            </w:pPr>
            <w:r>
              <w:rPr>
                <w:rFonts w:ascii="Arial" w:cs="Arial" w:eastAsia="Arial" w:hAnsi="Arial"/>
                <w:b/>
                <w:bCs/>
                <w:color w:val="FFFFFF"/>
                <w:sz w:val="48"/>
                <w:szCs w:val="48"/>
              </w:rPr>
              <w:t xml:space="preserve">2</w:t>
            </w:r>
          </w:p>
        </w:tc>
        <w:tc>
          <w:tcPr>
            <w:tcW w:type="dxa" w:w="8460"/>
            <w:tcBorders>
              <w:top w:val="none" w:color="FFFFFF" w:sz="0"/>
              <w:left w:val="none" w:color="FFFFFF" w:sz="0"/>
              <w:bottom w:val="none" w:color="FFFFFF" w:sz="0"/>
              <w:right w:val="none" w:color="FFFFFF" w:sz="0"/>
            </w:tcBorders>
            <w:shd w:fill="F3EBFA" w:val="clear"/>
            <w:tcMar>
              <w:top w:type="dxa" w:w="180"/>
              <w:left w:type="dxa" w:w="240"/>
              <w:bottom w:type="dxa" w:w="180"/>
              <w:right w:type="dxa" w:w="200"/>
            </w:tcMar>
          </w:tcPr>
          <w:p>
            <w:pPr>
              <w:spacing w:after="100"/>
            </w:pPr>
            <w:r>
              <w:rPr>
                <w:rFonts w:ascii="Arial" w:cs="Arial" w:eastAsia="Arial" w:hAnsi="Arial"/>
                <w:b/>
                <w:bCs/>
                <w:color w:val="6B3FA0"/>
                <w:sz w:val="28"/>
                <w:szCs w:val="28"/>
              </w:rPr>
              <w:t xml:space="preserve">Add your child as a Wearer</w:t>
            </w:r>
          </w:p>
          <w:p>
            <w:pPr>
              <w:spacing w:after="140" w:before="0" w:line="320"/>
              <w:jc w:val="left"/>
            </w:pPr>
            <w:r>
              <w:rPr>
                <w:rFonts w:ascii="Arial" w:cs="Arial" w:eastAsia="Arial" w:hAnsi="Arial"/>
                <w:b w:val="false"/>
                <w:bCs w:val="false"/>
                <w:i w:val="false"/>
                <w:iCs w:val="false"/>
                <w:color w:val="4A3E2E"/>
                <w:sz w:val="22"/>
                <w:szCs w:val="22"/>
              </w:rPr>
              <w:t xml:space="preserve">Once signed in, from the dashboard tap </w:t>
            </w:r>
            <w:r>
              <w:rPr>
                <w:rFonts w:ascii="Arial" w:cs="Arial" w:eastAsia="Arial" w:hAnsi="Arial"/>
                <w:b/>
                <w:bCs/>
                <w:i w:val="false"/>
                <w:iCs w:val="false"/>
                <w:color w:val="6B3FA0"/>
                <w:sz w:val="22"/>
                <w:szCs w:val="22"/>
              </w:rPr>
              <w:t xml:space="preserve">Add Wearer</w:t>
            </w:r>
            <w:r>
              <w:rPr>
                <w:rFonts w:ascii="Arial" w:cs="Arial" w:eastAsia="Arial" w:hAnsi="Arial"/>
                <w:b w:val="false"/>
                <w:bCs w:val="false"/>
                <w:i w:val="false"/>
                <w:iCs w:val="false"/>
                <w:color w:val="4A3E2E"/>
                <w:sz w:val="22"/>
                <w:szCs w:val="22"/>
              </w:rPr>
              <w:t xml:space="preserve">. Fill in the Wearer’s basic details — </w:t>
            </w:r>
            <w:r>
              <w:rPr>
                <w:rFonts w:ascii="Arial" w:cs="Arial" w:eastAsia="Arial" w:hAnsi="Arial"/>
                <w:b/>
                <w:bCs/>
                <w:i w:val="false"/>
                <w:iCs w:val="false"/>
                <w:color w:val="1C1408"/>
                <w:sz w:val="22"/>
                <w:szCs w:val="22"/>
              </w:rPr>
              <w:t xml:space="preserve">first name, last name, age, sex</w:t>
            </w:r>
            <w:r>
              <w:rPr>
                <w:rFonts w:ascii="Arial" w:cs="Arial" w:eastAsia="Arial" w:hAnsi="Arial"/>
                <w:b w:val="false"/>
                <w:bCs w:val="false"/>
                <w:i w:val="false"/>
                <w:iCs w:val="false"/>
                <w:color w:val="4A3E2E"/>
                <w:sz w:val="22"/>
                <w:szCs w:val="22"/>
              </w:rPr>
              <w:t xml:space="preserve"> — and the email, if they have one. These are the administrative details AlvoTriX needs to know who the wearer is.</w:t>
            </w:r>
          </w:p>
          <w:p>
            <w:pPr>
              <w:spacing w:after="140" w:before="0" w:line="320"/>
              <w:jc w:val="left"/>
            </w:pPr>
            <w:r>
              <w:rPr>
                <w:rFonts w:ascii="Arial" w:cs="Arial" w:eastAsia="Arial" w:hAnsi="Arial"/>
                <w:b w:val="false"/>
                <w:bCs w:val="false"/>
                <w:i w:val="false"/>
                <w:iCs w:val="false"/>
                <w:color w:val="4A3E2E"/>
                <w:sz w:val="22"/>
                <w:szCs w:val="22"/>
              </w:rPr>
              <w:t xml:space="preserve">Then add the </w:t>
            </w:r>
            <w:r>
              <w:rPr>
                <w:rFonts w:ascii="Arial" w:cs="Arial" w:eastAsia="Arial" w:hAnsi="Arial"/>
                <w:b/>
                <w:bCs/>
                <w:i w:val="false"/>
                <w:iCs w:val="false"/>
                <w:color w:val="1C1408"/>
                <w:sz w:val="22"/>
                <w:szCs w:val="22"/>
              </w:rPr>
              <w:t xml:space="preserve">emergency contacts</w:t>
            </w:r>
            <w:r>
              <w:rPr>
                <w:rFonts w:ascii="Arial" w:cs="Arial" w:eastAsia="Arial" w:hAnsi="Arial"/>
                <w:b w:val="false"/>
                <w:bCs w:val="false"/>
                <w:i w:val="false"/>
                <w:iCs w:val="false"/>
                <w:color w:val="4A3E2E"/>
                <w:sz w:val="22"/>
                <w:szCs w:val="22"/>
              </w:rPr>
              <w:t xml:space="preserve"> who should receive alerts: a </w:t>
            </w:r>
            <w:r>
              <w:rPr>
                <w:rFonts w:ascii="Arial" w:cs="Arial" w:eastAsia="Arial" w:hAnsi="Arial"/>
                <w:b/>
                <w:bCs/>
                <w:i w:val="false"/>
                <w:iCs w:val="false"/>
                <w:color w:val="1C1408"/>
                <w:sz w:val="22"/>
                <w:szCs w:val="22"/>
              </w:rPr>
              <w:t xml:space="preserve">primary phone number</w:t>
            </w:r>
            <w:r>
              <w:rPr>
                <w:rFonts w:ascii="Arial" w:cs="Arial" w:eastAsia="Arial" w:hAnsi="Arial"/>
                <w:b w:val="false"/>
                <w:bCs w:val="false"/>
                <w:i w:val="false"/>
                <w:iCs w:val="false"/>
                <w:color w:val="4A3E2E"/>
                <w:sz w:val="22"/>
                <w:szCs w:val="22"/>
              </w:rPr>
              <w:t xml:space="preserve"> (required) and up to two additional contacts with phone and/or email. These are the people who will be notified the moment the AI detects something important. Configure geofences here too (safe zones, danger zones) if relevant to your family.</w:t>
            </w:r>
          </w:p>
          <w:p>
            <w:pPr>
              <w:spacing w:after="140" w:before="0" w:line="320"/>
              <w:jc w:val="left"/>
            </w:pPr>
            <w:r>
              <w:rPr>
                <w:rFonts w:ascii="Arial" w:cs="Arial" w:eastAsia="Arial" w:hAnsi="Arial"/>
                <w:b w:val="false"/>
                <w:bCs w:val="false"/>
                <w:i/>
                <w:iCs/>
                <w:color w:val="8B7B65"/>
                <w:sz w:val="20"/>
                <w:szCs w:val="20"/>
              </w:rPr>
              <w:t xml:space="preserve">The </w:t>
            </w:r>
            <w:r>
              <w:rPr>
                <w:rFonts w:ascii="Arial" w:cs="Arial" w:eastAsia="Arial" w:hAnsi="Arial"/>
                <w:b/>
                <w:bCs/>
                <w:i/>
                <w:iCs/>
                <w:color w:val="6B3FA0"/>
                <w:sz w:val="20"/>
                <w:szCs w:val="20"/>
              </w:rPr>
              <w:t xml:space="preserve">License</w:t>
            </w:r>
            <w:r>
              <w:rPr>
                <w:rFonts w:ascii="Arial" w:cs="Arial" w:eastAsia="Arial" w:hAnsi="Arial"/>
                <w:b w:val="false"/>
                <w:bCs w:val="false"/>
                <w:i/>
                <w:iCs/>
                <w:color w:val="8B7B65"/>
                <w:sz w:val="20"/>
                <w:szCs w:val="20"/>
              </w:rPr>
              <w:t xml:space="preserve"> and </w:t>
            </w:r>
            <w:r>
              <w:rPr>
                <w:rFonts w:ascii="Arial" w:cs="Arial" w:eastAsia="Arial" w:hAnsi="Arial"/>
                <w:b/>
                <w:bCs/>
                <w:i/>
                <w:iCs/>
                <w:color w:val="6B3FA0"/>
                <w:sz w:val="20"/>
                <w:szCs w:val="20"/>
              </w:rPr>
              <w:t xml:space="preserve">Service</w:t>
            </w:r>
            <w:r>
              <w:rPr>
                <w:rFonts w:ascii="Arial" w:cs="Arial" w:eastAsia="Arial" w:hAnsi="Arial"/>
                <w:b w:val="false"/>
                <w:bCs w:val="false"/>
                <w:i/>
                <w:iCs/>
                <w:color w:val="8B7B65"/>
                <w:sz w:val="20"/>
                <w:szCs w:val="20"/>
              </w:rPr>
              <w:t xml:space="preserve"> fields are filled in automatically — they were assigned at the moment of purchase. You don’t need to enter anything there.</w:t>
            </w:r>
          </w:p>
          <w:p>
            <w:pPr>
              <w:spacing w:after="120" w:before="0" w:line="320"/>
              <w:jc w:val="left"/>
            </w:pPr>
            <w:r>
              <w:rPr>
                <w:rFonts w:ascii="Arial" w:cs="Arial" w:eastAsia="Arial" w:hAnsi="Arial"/>
                <w:b w:val="false"/>
                <w:bCs w:val="false"/>
                <w:i/>
                <w:iCs/>
                <w:color w:val="8B7B65"/>
                <w:sz w:val="20"/>
                <w:szCs w:val="20"/>
              </w:rPr>
              <w:t xml:space="preserve">You can add multiple Wearers under one account. Each Wearer has their own personal baseline, their own alerts, and their own Explorer configuration.</w:t>
            </w:r>
          </w:p>
        </w:tc>
      </w:tr>
    </w:tbl>
    <w:p>
      <w:pPr>
        <w:spacing w:after="200" w:before="0"/>
      </w:pPr>
      <w:r>
        <w:rPr>
          <w:rFonts w:ascii="Arial" w:cs="Arial" w:eastAsia="Arial" w:hAnsi="Arial"/>
          <w:b w:val="false"/>
          <w:bCs w:val="false"/>
          <w:i w:val="false"/>
          <w:iCs w:val="false"/>
          <w:color w:val="4A3E2E"/>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00"/>
        <w:gridCol w:w="8460"/>
      </w:tblGrid>
      <w:tr>
        <w:tc>
          <w:tcPr>
            <w:tcW w:type="dxa" w:w="900"/>
            <w:tcBorders>
              <w:top w:val="none" w:color="FFFFFF" w:sz="0"/>
              <w:left w:val="none" w:color="FFFFFF" w:sz="0"/>
              <w:bottom w:val="none" w:color="FFFFFF" w:sz="0"/>
              <w:right w:val="none" w:color="FFFFFF" w:sz="0"/>
            </w:tcBorders>
            <w:shd w:fill="6B3FA0" w:val="clear"/>
            <w:tcMar>
              <w:top w:type="dxa" w:w="160"/>
              <w:left w:type="dxa" w:w="120"/>
              <w:bottom w:type="dxa" w:w="160"/>
              <w:right w:type="dxa" w:w="120"/>
            </w:tcMar>
            <w:vAlign w:val="center"/>
          </w:tcPr>
          <w:p>
            <w:pPr>
              <w:jc w:val="center"/>
            </w:pPr>
            <w:r>
              <w:rPr>
                <w:rFonts w:ascii="Arial" w:cs="Arial" w:eastAsia="Arial" w:hAnsi="Arial"/>
                <w:b/>
                <w:bCs/>
                <w:color w:val="FFFFFF"/>
                <w:sz w:val="48"/>
                <w:szCs w:val="48"/>
              </w:rPr>
              <w:t xml:space="preserve">3</w:t>
            </w:r>
          </w:p>
        </w:tc>
        <w:tc>
          <w:tcPr>
            <w:tcW w:type="dxa" w:w="8460"/>
            <w:tcBorders>
              <w:top w:val="none" w:color="FFFFFF" w:sz="0"/>
              <w:left w:val="none" w:color="FFFFFF" w:sz="0"/>
              <w:bottom w:val="none" w:color="FFFFFF" w:sz="0"/>
              <w:right w:val="none" w:color="FFFFFF" w:sz="0"/>
            </w:tcBorders>
            <w:shd w:fill="F3EBFA" w:val="clear"/>
            <w:tcMar>
              <w:top w:type="dxa" w:w="180"/>
              <w:left w:type="dxa" w:w="240"/>
              <w:bottom w:type="dxa" w:w="180"/>
              <w:right w:type="dxa" w:w="200"/>
            </w:tcMar>
          </w:tcPr>
          <w:p>
            <w:pPr>
              <w:spacing w:after="100"/>
            </w:pPr>
            <w:r>
              <w:rPr>
                <w:rFonts w:ascii="Arial" w:cs="Arial" w:eastAsia="Arial" w:hAnsi="Arial"/>
                <w:b/>
                <w:bCs/>
                <w:color w:val="6B3FA0"/>
                <w:sz w:val="28"/>
                <w:szCs w:val="28"/>
              </w:rPr>
              <w:t xml:space="preserve">Install Explorer APK on your phone and sign in</w:t>
            </w:r>
          </w:p>
          <w:p>
            <w:pPr>
              <w:spacing w:after="140" w:before="0" w:line="320"/>
              <w:jc w:val="left"/>
            </w:pPr>
            <w:r>
              <w:rPr>
                <w:rFonts w:ascii="Arial" w:cs="Arial" w:eastAsia="Arial" w:hAnsi="Arial"/>
                <w:b w:val="false"/>
                <w:bCs w:val="false"/>
                <w:i w:val="false"/>
                <w:iCs w:val="false"/>
                <w:color w:val="4A3E2E"/>
                <w:sz w:val="22"/>
                <w:szCs w:val="22"/>
              </w:rPr>
              <w:t xml:space="preserve">Install the Explorer APK on your </w:t>
            </w:r>
            <w:r>
              <w:rPr>
                <w:rFonts w:ascii="Arial" w:cs="Arial" w:eastAsia="Arial" w:hAnsi="Arial"/>
                <w:b/>
                <w:bCs/>
                <w:i w:val="false"/>
                <w:iCs w:val="false"/>
                <w:color w:val="1C1408"/>
                <w:sz w:val="22"/>
                <w:szCs w:val="22"/>
              </w:rPr>
              <w:t xml:space="preserve">Android phone</w:t>
            </w:r>
            <w:r>
              <w:rPr>
                <w:rFonts w:ascii="Arial" w:cs="Arial" w:eastAsia="Arial" w:hAnsi="Arial"/>
                <w:b w:val="false"/>
                <w:bCs w:val="false"/>
                <w:i w:val="false"/>
                <w:iCs w:val="false"/>
                <w:color w:val="4A3E2E"/>
                <w:sz w:val="22"/>
                <w:szCs w:val="22"/>
              </w:rPr>
              <w:t xml:space="preserve"> using the APK file included in the zip you received. Once installed, open Explorer and sign in with </w:t>
            </w:r>
            <w:r>
              <w:rPr>
                <w:rFonts w:ascii="Arial" w:cs="Arial" w:eastAsia="Arial" w:hAnsi="Arial"/>
                <w:b/>
                <w:bCs/>
                <w:i w:val="false"/>
                <w:iCs w:val="false"/>
                <w:color w:val="1C1408"/>
                <w:sz w:val="22"/>
                <w:szCs w:val="22"/>
              </w:rPr>
              <w:t xml:space="preserve">the same email and password</w:t>
            </w:r>
            <w:r>
              <w:rPr>
                <w:rFonts w:ascii="Arial" w:cs="Arial" w:eastAsia="Arial" w:hAnsi="Arial"/>
                <w:b w:val="false"/>
                <w:bCs w:val="false"/>
                <w:i w:val="false"/>
                <w:iCs w:val="false"/>
                <w:color w:val="4A3E2E"/>
                <w:sz w:val="22"/>
                <w:szCs w:val="22"/>
              </w:rPr>
              <w:t xml:space="preserve"> you used for MyAlvoTriX.</w:t>
            </w:r>
          </w:p>
          <w:p>
            <w:pPr>
              <w:spacing w:after="120" w:before="0" w:line="320"/>
              <w:jc w:val="left"/>
            </w:pPr>
            <w:r>
              <w:rPr>
                <w:rFonts w:ascii="Arial" w:cs="Arial" w:eastAsia="Arial" w:hAnsi="Arial"/>
                <w:b w:val="false"/>
                <w:bCs w:val="false"/>
                <w:i/>
                <w:iCs/>
                <w:color w:val="8B7B65"/>
                <w:sz w:val="20"/>
                <w:szCs w:val="20"/>
              </w:rPr>
              <w:t xml:space="preserve">Explorer automatically finds the Wearer you configured in Step 2 and loads them. </w:t>
            </w:r>
            <w:r>
              <w:rPr>
                <w:rFonts w:ascii="Arial" w:cs="Arial" w:eastAsia="Arial" w:hAnsi="Arial"/>
                <w:b w:val="false"/>
                <w:bCs w:val="false"/>
                <w:i/>
                <w:iCs/>
                <w:color w:val="8B7B65"/>
                <w:sz w:val="20"/>
                <w:szCs w:val="20"/>
              </w:rPr>
              <w:t xml:space="preserve">If you have multiple Wearers on the account, the app asks which child is using this installation — select the name and continue.</w:t>
            </w:r>
          </w:p>
        </w:tc>
      </w:tr>
    </w:tbl>
    <w:p>
      <w:pPr>
        <w:spacing w:after="200" w:before="0"/>
      </w:pPr>
      <w:r>
        <w:rPr>
          <w:rFonts w:ascii="Arial" w:cs="Arial" w:eastAsia="Arial" w:hAnsi="Arial"/>
          <w:b w:val="false"/>
          <w:bCs w:val="false"/>
          <w:i w:val="false"/>
          <w:iCs w:val="false"/>
          <w:color w:val="4A3E2E"/>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00"/>
        <w:gridCol w:w="8460"/>
      </w:tblGrid>
      <w:tr>
        <w:tc>
          <w:tcPr>
            <w:tcW w:type="dxa" w:w="900"/>
            <w:tcBorders>
              <w:top w:val="none" w:color="FFFFFF" w:sz="0"/>
              <w:left w:val="none" w:color="FFFFFF" w:sz="0"/>
              <w:bottom w:val="none" w:color="FFFFFF" w:sz="0"/>
              <w:right w:val="none" w:color="FFFFFF" w:sz="0"/>
            </w:tcBorders>
            <w:shd w:fill="6B3FA0" w:val="clear"/>
            <w:tcMar>
              <w:top w:type="dxa" w:w="160"/>
              <w:left w:type="dxa" w:w="120"/>
              <w:bottom w:type="dxa" w:w="160"/>
              <w:right w:type="dxa" w:w="120"/>
            </w:tcMar>
            <w:vAlign w:val="center"/>
          </w:tcPr>
          <w:p>
            <w:pPr>
              <w:jc w:val="center"/>
            </w:pPr>
            <w:r>
              <w:rPr>
                <w:rFonts w:ascii="Arial" w:cs="Arial" w:eastAsia="Arial" w:hAnsi="Arial"/>
                <w:b/>
                <w:bCs/>
                <w:color w:val="FFFFFF"/>
                <w:sz w:val="48"/>
                <w:szCs w:val="48"/>
              </w:rPr>
              <w:t xml:space="preserve">4</w:t>
            </w:r>
          </w:p>
        </w:tc>
        <w:tc>
          <w:tcPr>
            <w:tcW w:type="dxa" w:w="8460"/>
            <w:tcBorders>
              <w:top w:val="none" w:color="FFFFFF" w:sz="0"/>
              <w:left w:val="none" w:color="FFFFFF" w:sz="0"/>
              <w:bottom w:val="none" w:color="FFFFFF" w:sz="0"/>
              <w:right w:val="none" w:color="FFFFFF" w:sz="0"/>
            </w:tcBorders>
            <w:shd w:fill="F3EBFA" w:val="clear"/>
            <w:tcMar>
              <w:top w:type="dxa" w:w="180"/>
              <w:left w:type="dxa" w:w="240"/>
              <w:bottom w:type="dxa" w:w="180"/>
              <w:right w:type="dxa" w:w="200"/>
            </w:tcMar>
          </w:tcPr>
          <w:p>
            <w:pPr>
              <w:spacing w:after="100"/>
            </w:pPr>
            <w:r>
              <w:rPr>
                <w:rFonts w:ascii="Arial" w:cs="Arial" w:eastAsia="Arial" w:hAnsi="Arial"/>
                <w:b/>
                <w:bCs/>
                <w:color w:val="6B3FA0"/>
                <w:sz w:val="28"/>
                <w:szCs w:val="28"/>
              </w:rPr>
              <w:t xml:space="preserve">Select the condition inside Explorer: Autism, ADHD, or both</w:t>
            </w:r>
          </w:p>
          <w:p>
            <w:pPr>
              <w:spacing w:after="140" w:before="0" w:line="320"/>
              <w:jc w:val="left"/>
            </w:pPr>
            <w:r>
              <w:rPr>
                <w:rFonts w:ascii="Arial" w:cs="Arial" w:eastAsia="Arial" w:hAnsi="Arial"/>
                <w:b w:val="false"/>
                <w:bCs w:val="false"/>
                <w:i w:val="false"/>
                <w:iCs w:val="false"/>
                <w:color w:val="4A3E2E"/>
                <w:sz w:val="22"/>
                <w:szCs w:val="22"/>
              </w:rPr>
              <w:t xml:space="preserve">This is where the profile gets tuned. Inside Explorer, after the first sign-in, the app asks you to choose your child’s neurodevelopmental condition — </w:t>
            </w:r>
            <w:r>
              <w:rPr>
                <w:rFonts w:ascii="Arial" w:cs="Arial" w:eastAsia="Arial" w:hAnsi="Arial"/>
                <w:b/>
                <w:bCs/>
                <w:i w:val="false"/>
                <w:iCs w:val="false"/>
                <w:color w:val="1C1408"/>
                <w:sz w:val="22"/>
                <w:szCs w:val="22"/>
              </w:rPr>
              <w:t xml:space="preserve">Autism Spectrum, ADHD, both, or other sensory processing differences</w:t>
            </w:r>
            <w:r>
              <w:rPr>
                <w:rFonts w:ascii="Arial" w:cs="Arial" w:eastAsia="Arial" w:hAnsi="Arial"/>
                <w:b w:val="false"/>
                <w:bCs w:val="false"/>
                <w:i w:val="false"/>
                <w:iCs w:val="false"/>
                <w:color w:val="4A3E2E"/>
                <w:sz w:val="22"/>
                <w:szCs w:val="22"/>
              </w:rPr>
              <w:t xml:space="preserve">. Choose what best describes them. You can change this later any time from Explorer’s settings.</w:t>
            </w:r>
          </w:p>
          <w:p>
            <w:pPr>
              <w:spacing w:after="120" w:before="0" w:line="320"/>
              <w:jc w:val="left"/>
            </w:pPr>
            <w:r>
              <w:rPr>
                <w:rFonts w:ascii="Arial" w:cs="Arial" w:eastAsia="Arial" w:hAnsi="Arial"/>
                <w:b w:val="false"/>
                <w:bCs w:val="false"/>
                <w:i/>
                <w:iCs/>
                <w:color w:val="8B7B65"/>
                <w:sz w:val="20"/>
                <w:szCs w:val="20"/>
              </w:rPr>
              <w:t xml:space="preserve">This matters because </w:t>
            </w:r>
            <w:r>
              <w:rPr>
                <w:rFonts w:ascii="Arial" w:cs="Arial" w:eastAsia="Arial" w:hAnsi="Arial"/>
                <w:b/>
                <w:bCs/>
                <w:i/>
                <w:iCs/>
                <w:color w:val="6B3FA0"/>
                <w:sz w:val="20"/>
                <w:szCs w:val="20"/>
              </w:rPr>
              <w:t xml:space="preserve">the AI adapts to the condition</w:t>
            </w:r>
            <w:r>
              <w:rPr>
                <w:rFonts w:ascii="Arial" w:cs="Arial" w:eastAsia="Arial" w:hAnsi="Arial"/>
                <w:b w:val="false"/>
                <w:bCs w:val="false"/>
                <w:i/>
                <w:iCs/>
                <w:color w:val="8B7B65"/>
                <w:sz w:val="20"/>
                <w:szCs w:val="20"/>
              </w:rPr>
              <w:t xml:space="preserve"> — autism and ADHD produce distinct autonomic signatures during dysregulation, and Explorer will prioritize different calming activities based on the profile you select. The Birthday Cake breathing, the Sensory Toolkit, the Focus exercises — all are weighted differently depending on this choice.</w:t>
            </w:r>
          </w:p>
        </w:tc>
      </w:tr>
    </w:tbl>
    <w:p>
      <w:pPr>
        <w:spacing w:after="280" w:before="0"/>
      </w:pPr>
      <w:r>
        <w:rPr>
          <w:rFonts w:ascii="Arial" w:cs="Arial" w:eastAsia="Arial" w:hAnsi="Arial"/>
          <w:b w:val="false"/>
          <w:bCs w:val="false"/>
          <w:i w:val="false"/>
          <w:iCs w:val="false"/>
          <w:color w:val="4A3E2E"/>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8660"/>
      </w:tblGrid>
      <w:tr>
        <w:tc>
          <w:tcPr>
            <w:tcW w:type="dxa" w:w="700"/>
            <w:tcBorders>
              <w:top w:val="none" w:color="FFFFFF" w:sz="0"/>
              <w:left w:val="none" w:color="FFFFFF" w:sz="0"/>
              <w:bottom w:val="none" w:color="FFFFFF" w:sz="0"/>
              <w:right w:val="none" w:color="FFFFFF" w:sz="0"/>
            </w:tcBorders>
            <w:shd w:fill="E8F5EE" w:val="clear"/>
            <w:tcMar>
              <w:top w:type="dxa" w:w="160"/>
              <w:left w:type="dxa" w:w="160"/>
              <w:bottom w:type="dxa" w:w="160"/>
              <w:right w:type="dxa" w:w="80"/>
            </w:tcMar>
            <w:vAlign w:val="top"/>
          </w:tcPr>
          <w:p>
            <w:pPr>
              <w:jc w:val="center"/>
            </w:pPr>
            <w:r>
              <w:rPr>
                <w:rFonts w:ascii="Arial" w:cs="Arial" w:eastAsia="Arial" w:hAnsi="Arial"/>
                <w:b/>
                <w:bCs/>
                <w:color w:val="1F7A4D"/>
                <w:sz w:val="36"/>
                <w:szCs w:val="36"/>
              </w:rPr>
              <w:t xml:space="preserve">✓</w:t>
            </w:r>
          </w:p>
        </w:tc>
        <w:tc>
          <w:tcPr>
            <w:tcW w:type="dxa" w:w="8660"/>
            <w:tcBorders>
              <w:top w:val="none" w:color="FFFFFF" w:sz="0"/>
              <w:left w:val="none" w:color="FFFFFF" w:sz="0"/>
              <w:bottom w:val="none" w:color="FFFFFF" w:sz="0"/>
              <w:right w:val="none" w:color="FFFFFF" w:sz="0"/>
            </w:tcBorders>
            <w:shd w:fill="E8F5EE" w:val="clear"/>
            <w:tcMar>
              <w:top w:type="dxa" w:w="160"/>
              <w:left w:type="dxa" w:w="120"/>
              <w:bottom w:type="dxa" w:w="160"/>
              <w:right w:type="dxa" w:w="200"/>
            </w:tcMar>
          </w:tcPr>
          <w:p>
            <w:pPr>
              <w:spacing w:after="80"/>
            </w:pPr>
            <w:r>
              <w:rPr>
                <w:rFonts w:ascii="Arial" w:cs="Arial" w:eastAsia="Arial" w:hAnsi="Arial"/>
                <w:b/>
                <w:bCs/>
                <w:color w:val="1F7A4D"/>
                <w:sz w:val="22"/>
                <w:szCs w:val="22"/>
              </w:rPr>
              <w:t xml:space="preserve">You’re all set</w:t>
            </w:r>
          </w:p>
          <w:p>
            <w:pPr>
              <w:spacing w:after="0" w:line="300"/>
            </w:pPr>
            <w:r>
              <w:rPr>
                <w:rFonts w:ascii="Arial" w:cs="Arial" w:eastAsia="Arial" w:hAnsi="Arial"/>
                <w:color w:val="4A3E2E"/>
                <w:sz w:val="20"/>
                <w:szCs w:val="20"/>
              </w:rPr>
              <w:t xml:space="preserve">Explorer is now live on your phone and connected to your child’s wearable. For the next 14 days the AI will quietly learn your child’s personal baseline — sleep rhythms, stress responses, stimming signatures. During this period Explorer is already usable for activities your child chooses, and basic alerts (SOS, fall, panic) are active. The full predictive meltdown alerts activate from day 15 onward, once the AI knows your child well enough to detect deviations accurately.</w:t>
            </w:r>
          </w:p>
        </w:tc>
      </w:tr>
    </w:tbl>
    <w:p>
      <w:pPr>
        <w:spacing w:after="240" w:before="0"/>
      </w:pPr>
      <w:r>
        <w:rPr>
          <w:rFonts w:ascii="Arial" w:cs="Arial" w:eastAsia="Arial" w:hAnsi="Arial"/>
          <w:b w:val="false"/>
          <w:bCs w:val="false"/>
          <w:i w:val="false"/>
          <w:iCs w:val="false"/>
          <w:color w:val="4A3E2E"/>
          <w:sz w:val="22"/>
          <w:szCs w:val="22"/>
        </w:rPr>
        <w:t xml:space="preserve"/>
      </w:r>
    </w:p>
    <w:p>
      <w:r>
        <w:br w:type="page"/>
      </w:r>
    </w:p>
    <w:p>
      <w:pPr>
        <w:spacing w:after="80" w:before="0"/>
      </w:pPr>
      <w:r>
        <w:rPr>
          <w:rFonts w:ascii="Arial" w:cs="Arial" w:eastAsia="Arial" w:hAnsi="Arial"/>
          <w:b/>
          <w:bCs/>
          <w:color w:val="6B3FA0"/>
          <w:spacing w:val="40"/>
          <w:sz w:val="18"/>
          <w:szCs w:val="18"/>
        </w:rPr>
        <w:t xml:space="preserve">TEN ACTIVITIES, ONE COMPANION</w:t>
      </w:r>
    </w:p>
    <w:p>
      <w:pPr>
        <w:pStyle w:val="Heading1"/>
        <w:spacing w:after="200" w:before="360"/>
      </w:pPr>
      <w:r>
        <w:rPr>
          <w:rFonts w:ascii="Arial" w:cs="Arial" w:eastAsia="Arial" w:hAnsi="Arial"/>
          <w:b/>
          <w:bCs/>
          <w:color w:val="C8301C"/>
          <w:sz w:val="44"/>
          <w:szCs w:val="44"/>
        </w:rPr>
        <w:t xml:space="preserve">What Explorer actually does</w:t>
      </w:r>
    </w:p>
    <w:p>
      <w:pPr>
        <w:spacing w:after="80" w:before="0"/>
      </w:pPr>
      <w:r>
        <w:rPr>
          <w:rFonts w:ascii="Arial" w:cs="Arial" w:eastAsia="Arial" w:hAnsi="Arial"/>
          <w:b w:val="false"/>
          <w:bCs w:val="false"/>
          <w:i w:val="false"/>
          <w:iCs w:val="false"/>
          <w:color w:val="4A3E2E"/>
          <w:sz w:val="22"/>
          <w:szCs w:val="22"/>
        </w:rPr>
        <w:t xml:space="preserve"/>
      </w:r>
    </w:p>
    <w:p>
      <w:pPr>
        <w:spacing w:after="160" w:before="0" w:line="320"/>
        <w:jc w:val="left"/>
      </w:pPr>
      <w:r>
        <w:rPr>
          <w:rFonts w:ascii="Arial" w:cs="Arial" w:eastAsia="Arial" w:hAnsi="Arial"/>
          <w:b w:val="false"/>
          <w:bCs w:val="false"/>
          <w:i w:val="false"/>
          <w:iCs w:val="false"/>
          <w:color w:val="4A3E2E"/>
          <w:sz w:val="22"/>
          <w:szCs w:val="22"/>
        </w:rPr>
        <w:t xml:space="preserve">Explorer APK is not a toy, and it is not a generic calming app. Every one of its ten activities was designed with input from occupational therapists, speech-language pathologists, and — most importantly — children on the autism and ADHD spectrums themselves.</w:t>
      </w:r>
    </w:p>
    <w:p>
      <w:pPr>
        <w:spacing w:after="220" w:before="0" w:line="320"/>
        <w:jc w:val="left"/>
      </w:pPr>
      <w:r>
        <w:rPr>
          <w:rFonts w:ascii="Arial" w:cs="Arial" w:eastAsia="Arial" w:hAnsi="Arial"/>
          <w:b w:val="false"/>
          <w:bCs w:val="false"/>
          <w:i w:val="false"/>
          <w:iCs w:val="false"/>
          <w:color w:val="4A3E2E"/>
          <w:sz w:val="22"/>
          <w:szCs w:val="22"/>
        </w:rPr>
        <w:t xml:space="preserve">Some activities run </w:t>
      </w:r>
      <w:r>
        <w:rPr>
          <w:rFonts w:ascii="Arial" w:cs="Arial" w:eastAsia="Arial" w:hAnsi="Arial"/>
          <w:b/>
          <w:bCs/>
          <w:i w:val="false"/>
          <w:iCs w:val="false"/>
          <w:color w:val="1C1408"/>
          <w:sz w:val="22"/>
          <w:szCs w:val="22"/>
        </w:rPr>
        <w:t xml:space="preserve">automatically</w:t>
      </w:r>
      <w:r>
        <w:rPr>
          <w:rFonts w:ascii="Arial" w:cs="Arial" w:eastAsia="Arial" w:hAnsi="Arial"/>
          <w:b w:val="false"/>
          <w:bCs w:val="false"/>
          <w:i w:val="false"/>
          <w:iCs w:val="false"/>
          <w:color w:val="4A3E2E"/>
          <w:sz w:val="22"/>
          <w:szCs w:val="22"/>
        </w:rPr>
        <w:t xml:space="preserve"> when the AI detects rising stress. Others your child can trigger themselves any time they feel they need support.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2400"/>
        <w:gridCol w:w="6260"/>
      </w:tblGrid>
      <w:tr>
        <w:trPr>
          <w:tblHeader/>
        </w:trPr>
        <w:tc>
          <w:tcPr>
            <w:tcW w:type="dxa" w:w="700"/>
            <w:tcBorders>
              <w:top w:val="single" w:color="E6DFD0" w:sz="6"/>
              <w:left w:val="single" w:color="E6DFD0" w:sz="6"/>
              <w:bottom w:val="single" w:color="E6DFD0" w:sz="6"/>
              <w:right w:val="single" w:color="E6DFD0" w:sz="6"/>
            </w:tcBorders>
            <w:shd w:fill="6B3FA0" w:val="clear"/>
            <w:tcMar>
              <w:top w:type="dxa" w:w="100"/>
              <w:left w:type="dxa" w:w="100"/>
              <w:bottom w:type="dxa" w:w="100"/>
              <w:right w:type="dxa" w:w="100"/>
            </w:tcMar>
          </w:tcPr>
          <w:p>
            <w:pPr>
              <w:jc w:val="center"/>
            </w:pPr>
            <w:r>
              <w:rPr>
                <w:rFonts w:ascii="Arial" w:cs="Arial" w:eastAsia="Arial" w:hAnsi="Arial"/>
                <w:color w:val="FFFFFF"/>
                <w:sz w:val="18"/>
                <w:szCs w:val="18"/>
              </w:rPr>
              <w:t xml:space="preserve"/>
            </w:r>
          </w:p>
        </w:tc>
        <w:tc>
          <w:tcPr>
            <w:tcW w:type="dxa" w:w="2400"/>
            <w:tcBorders>
              <w:top w:val="single" w:color="E6DFD0" w:sz="6"/>
              <w:left w:val="single" w:color="E6DFD0" w:sz="6"/>
              <w:bottom w:val="single" w:color="E6DFD0" w:sz="6"/>
              <w:right w:val="single" w:color="E6DFD0" w:sz="6"/>
            </w:tcBorders>
            <w:shd w:fill="6B3FA0" w:val="clear"/>
            <w:tcMar>
              <w:top w:type="dxa" w:w="100"/>
              <w:left w:type="dxa" w:w="120"/>
              <w:bottom w:type="dxa" w:w="100"/>
              <w:right w:type="dxa" w:w="120"/>
            </w:tcMar>
          </w:tcPr>
          <w:p>
            <w:r>
              <w:rPr>
                <w:rFonts w:ascii="Arial" w:cs="Arial" w:eastAsia="Arial" w:hAnsi="Arial"/>
                <w:b/>
                <w:bCs/>
                <w:color w:val="FFFFFF"/>
                <w:spacing w:val="40"/>
                <w:sz w:val="18"/>
                <w:szCs w:val="18"/>
              </w:rPr>
              <w:t xml:space="preserve">ACTIVITY</w:t>
            </w:r>
          </w:p>
        </w:tc>
        <w:tc>
          <w:tcPr>
            <w:tcW w:type="dxa" w:w="6260"/>
            <w:tcBorders>
              <w:top w:val="single" w:color="E6DFD0" w:sz="6"/>
              <w:left w:val="single" w:color="E6DFD0" w:sz="6"/>
              <w:bottom w:val="single" w:color="E6DFD0" w:sz="6"/>
              <w:right w:val="single" w:color="E6DFD0" w:sz="6"/>
            </w:tcBorders>
            <w:shd w:fill="6B3FA0" w:val="clear"/>
            <w:tcMar>
              <w:top w:type="dxa" w:w="100"/>
              <w:left w:type="dxa" w:w="120"/>
              <w:bottom w:type="dxa" w:w="100"/>
              <w:right w:type="dxa" w:w="120"/>
            </w:tcMar>
          </w:tcPr>
          <w:p>
            <w:r>
              <w:rPr>
                <w:rFonts w:ascii="Arial" w:cs="Arial" w:eastAsia="Arial" w:hAnsi="Arial"/>
                <w:b/>
                <w:bCs/>
                <w:color w:val="FFFFFF"/>
                <w:spacing w:val="40"/>
                <w:sz w:val="18"/>
                <w:szCs w:val="18"/>
              </w:rPr>
              <w:t xml:space="preserve">WHAT IT DOES</w:t>
            </w:r>
          </w:p>
        </w:tc>
      </w:tr>
      <w:tr>
        <w:tc>
          <w:tcPr>
            <w:tcW w:type="dxa" w:w="700"/>
            <w:tcBorders>
              <w:top w:val="single" w:color="E6DFD0" w:sz="6"/>
              <w:left w:val="single" w:color="E6DFD0" w:sz="6"/>
              <w:bottom w:val="single" w:color="E6DFD0" w:sz="6"/>
              <w:right w:val="none" w:color="FFFFFF" w:sz="0"/>
            </w:tcBorders>
            <w:shd w:fill="F3EBFA" w:val="clear"/>
            <w:tcMar>
              <w:top w:type="dxa" w:w="140"/>
              <w:left w:type="dxa" w:w="120"/>
              <w:bottom w:type="dxa" w:w="140"/>
              <w:right w:type="dxa" w:w="80"/>
            </w:tcMar>
            <w:vAlign w:val="center"/>
          </w:tcPr>
          <w:p>
            <w:pPr>
              <w:jc w:val="center"/>
            </w:pPr>
            <w:r>
              <w:rPr>
                <w:rFonts w:ascii="Arial" w:cs="Arial" w:eastAsia="Arial" w:hAnsi="Arial"/>
                <w:sz w:val="36"/>
                <w:szCs w:val="36"/>
              </w:rPr>
              <w:t xml:space="preserve">🎂</w:t>
            </w:r>
          </w:p>
        </w:tc>
        <w:tc>
          <w:tcPr>
            <w:tcW w:type="dxa" w:w="2400"/>
            <w:tcBorders>
              <w:top w:val="single" w:color="E6DFD0" w:sz="6"/>
              <w:left w:val="none" w:color="FFFFFF" w:sz="0"/>
              <w:bottom w:val="single" w:color="E6DFD0" w:sz="6"/>
              <w:right w:val="none" w:color="FFFFFF" w:sz="0"/>
            </w:tcBorders>
            <w:tcMar>
              <w:top w:type="dxa" w:w="140"/>
              <w:left w:type="dxa" w:w="120"/>
              <w:bottom w:type="dxa" w:w="140"/>
              <w:right w:type="dxa" w:w="120"/>
            </w:tcMar>
            <w:vAlign w:val="center"/>
          </w:tcPr>
          <w:p>
            <w:r>
              <w:rPr>
                <w:rFonts w:ascii="Arial" w:cs="Arial" w:eastAsia="Arial" w:hAnsi="Arial"/>
                <w:b/>
                <w:bCs/>
                <w:color w:val="1C1408"/>
                <w:sz w:val="22"/>
                <w:szCs w:val="22"/>
              </w:rPr>
              <w:t xml:space="preserve">Birthday Cake</w:t>
            </w:r>
          </w:p>
        </w:tc>
        <w:tc>
          <w:tcPr>
            <w:tcW w:type="dxa" w:w="6260"/>
            <w:tcBorders>
              <w:top w:val="single" w:color="E6DFD0" w:sz="6"/>
              <w:left w:val="none" w:color="FFFFFF" w:sz="0"/>
              <w:bottom w:val="single" w:color="E6DFD0" w:sz="6"/>
              <w:right w:val="single" w:color="E6DFD0" w:sz="6"/>
            </w:tcBorders>
            <w:tcMar>
              <w:top w:type="dxa" w:w="140"/>
              <w:left w:type="dxa" w:w="120"/>
              <w:bottom w:type="dxa" w:w="140"/>
              <w:right w:type="dxa" w:w="200"/>
            </w:tcMar>
            <w:vAlign w:val="center"/>
          </w:tcPr>
          <w:p>
            <w:pPr>
              <w:spacing w:line="280"/>
            </w:pPr>
            <w:r>
              <w:rPr>
                <w:rFonts w:ascii="Arial" w:cs="Arial" w:eastAsia="Arial" w:hAnsi="Arial"/>
                <w:color w:val="4A3E2E"/>
                <w:sz w:val="20"/>
                <w:szCs w:val="20"/>
              </w:rPr>
              <w:t xml:space="preserve">The signature calming sequence. When a meltdown is predicted, the child sees a birthday cake with candles they blow out through slow exhales — a covertly gamified paced breathing exercise. HR and HRV are monitored live; candles relight if breathing speeds up again.</w:t>
            </w:r>
          </w:p>
        </w:tc>
      </w:tr>
      <w:tr>
        <w:tc>
          <w:tcPr>
            <w:tcW w:type="dxa" w:w="700"/>
            <w:tcBorders>
              <w:top w:val="single" w:color="E6DFD0" w:sz="6"/>
              <w:left w:val="single" w:color="E6DFD0" w:sz="6"/>
              <w:bottom w:val="single" w:color="E6DFD0" w:sz="6"/>
              <w:right w:val="none" w:color="FFFFFF" w:sz="0"/>
            </w:tcBorders>
            <w:shd w:fill="F3EBFA" w:val="clear"/>
            <w:tcMar>
              <w:top w:type="dxa" w:w="140"/>
              <w:left w:type="dxa" w:w="120"/>
              <w:bottom w:type="dxa" w:w="140"/>
              <w:right w:type="dxa" w:w="80"/>
            </w:tcMar>
            <w:vAlign w:val="center"/>
          </w:tcPr>
          <w:p>
            <w:pPr>
              <w:jc w:val="center"/>
            </w:pPr>
            <w:r>
              <w:rPr>
                <w:rFonts w:ascii="Arial" w:cs="Arial" w:eastAsia="Arial" w:hAnsi="Arial"/>
                <w:sz w:val="36"/>
                <w:szCs w:val="36"/>
              </w:rPr>
              <w:t xml:space="preserve">💊</w:t>
            </w:r>
          </w:p>
        </w:tc>
        <w:tc>
          <w:tcPr>
            <w:tcW w:type="dxa" w:w="2400"/>
            <w:tcBorders>
              <w:top w:val="single" w:color="E6DFD0" w:sz="6"/>
              <w:left w:val="none" w:color="FFFFFF" w:sz="0"/>
              <w:bottom w:val="single" w:color="E6DFD0" w:sz="6"/>
              <w:right w:val="none" w:color="FFFFFF" w:sz="0"/>
            </w:tcBorders>
            <w:tcMar>
              <w:top w:type="dxa" w:w="140"/>
              <w:left w:type="dxa" w:w="120"/>
              <w:bottom w:type="dxa" w:w="140"/>
              <w:right w:type="dxa" w:w="120"/>
            </w:tcMar>
            <w:vAlign w:val="center"/>
          </w:tcPr>
          <w:p>
            <w:r>
              <w:rPr>
                <w:rFonts w:ascii="Arial" w:cs="Arial" w:eastAsia="Arial" w:hAnsi="Arial"/>
                <w:b/>
                <w:bCs/>
                <w:color w:val="1C1408"/>
                <w:sz w:val="22"/>
                <w:szCs w:val="22"/>
              </w:rPr>
              <w:t xml:space="preserve">Medication</w:t>
            </w:r>
          </w:p>
        </w:tc>
        <w:tc>
          <w:tcPr>
            <w:tcW w:type="dxa" w:w="6260"/>
            <w:tcBorders>
              <w:top w:val="single" w:color="E6DFD0" w:sz="6"/>
              <w:left w:val="none" w:color="FFFFFF" w:sz="0"/>
              <w:bottom w:val="single" w:color="E6DFD0" w:sz="6"/>
              <w:right w:val="single" w:color="E6DFD0" w:sz="6"/>
            </w:tcBorders>
            <w:tcMar>
              <w:top w:type="dxa" w:w="140"/>
              <w:left w:type="dxa" w:w="120"/>
              <w:bottom w:type="dxa" w:w="140"/>
              <w:right w:type="dxa" w:w="200"/>
            </w:tcMar>
            <w:vAlign w:val="center"/>
          </w:tcPr>
          <w:p>
            <w:pPr>
              <w:spacing w:line="280"/>
            </w:pPr>
            <w:r>
              <w:rPr>
                <w:rFonts w:ascii="Arial" w:cs="Arial" w:eastAsia="Arial" w:hAnsi="Arial"/>
                <w:color w:val="4A3E2E"/>
                <w:sz w:val="20"/>
                <w:szCs w:val="20"/>
              </w:rPr>
              <w:t xml:space="preserve">Visual, non-clinical reminders for prescribed medication — age-appropriate icons, no scary language. The AI learns the physiological effect window of each medication and tags that data in the baseline so alerts don’t misfire.</w:t>
            </w:r>
          </w:p>
        </w:tc>
      </w:tr>
      <w:tr>
        <w:tc>
          <w:tcPr>
            <w:tcW w:type="dxa" w:w="700"/>
            <w:tcBorders>
              <w:top w:val="single" w:color="E6DFD0" w:sz="6"/>
              <w:left w:val="single" w:color="E6DFD0" w:sz="6"/>
              <w:bottom w:val="single" w:color="E6DFD0" w:sz="6"/>
              <w:right w:val="none" w:color="FFFFFF" w:sz="0"/>
            </w:tcBorders>
            <w:shd w:fill="F3EBFA" w:val="clear"/>
            <w:tcMar>
              <w:top w:type="dxa" w:w="140"/>
              <w:left w:type="dxa" w:w="120"/>
              <w:bottom w:type="dxa" w:w="140"/>
              <w:right w:type="dxa" w:w="80"/>
            </w:tcMar>
            <w:vAlign w:val="center"/>
          </w:tcPr>
          <w:p>
            <w:pPr>
              <w:jc w:val="center"/>
            </w:pPr>
            <w:r>
              <w:rPr>
                <w:rFonts w:ascii="Arial" w:cs="Arial" w:eastAsia="Arial" w:hAnsi="Arial"/>
                <w:sz w:val="36"/>
                <w:szCs w:val="36"/>
              </w:rPr>
              <w:t xml:space="preserve">⚡</w:t>
            </w:r>
          </w:p>
        </w:tc>
        <w:tc>
          <w:tcPr>
            <w:tcW w:type="dxa" w:w="2400"/>
            <w:tcBorders>
              <w:top w:val="single" w:color="E6DFD0" w:sz="6"/>
              <w:left w:val="none" w:color="FFFFFF" w:sz="0"/>
              <w:bottom w:val="single" w:color="E6DFD0" w:sz="6"/>
              <w:right w:val="none" w:color="FFFFFF" w:sz="0"/>
            </w:tcBorders>
            <w:tcMar>
              <w:top w:type="dxa" w:w="140"/>
              <w:left w:type="dxa" w:w="120"/>
              <w:bottom w:type="dxa" w:w="140"/>
              <w:right w:type="dxa" w:w="120"/>
            </w:tcMar>
            <w:vAlign w:val="center"/>
          </w:tcPr>
          <w:p>
            <w:r>
              <w:rPr>
                <w:rFonts w:ascii="Arial" w:cs="Arial" w:eastAsia="Arial" w:hAnsi="Arial"/>
                <w:b/>
                <w:bCs/>
                <w:color w:val="1C1408"/>
                <w:sz w:val="22"/>
                <w:szCs w:val="22"/>
              </w:rPr>
              <w:t xml:space="preserve">Triggers</w:t>
            </w:r>
          </w:p>
        </w:tc>
        <w:tc>
          <w:tcPr>
            <w:tcW w:type="dxa" w:w="6260"/>
            <w:tcBorders>
              <w:top w:val="single" w:color="E6DFD0" w:sz="6"/>
              <w:left w:val="none" w:color="FFFFFF" w:sz="0"/>
              <w:bottom w:val="single" w:color="E6DFD0" w:sz="6"/>
              <w:right w:val="single" w:color="E6DFD0" w:sz="6"/>
            </w:tcBorders>
            <w:tcMar>
              <w:top w:type="dxa" w:w="140"/>
              <w:left w:type="dxa" w:w="120"/>
              <w:bottom w:type="dxa" w:w="140"/>
              <w:right w:type="dxa" w:w="200"/>
            </w:tcMar>
            <w:vAlign w:val="center"/>
          </w:tcPr>
          <w:p>
            <w:pPr>
              <w:spacing w:line="280"/>
            </w:pPr>
            <w:r>
              <w:rPr>
                <w:rFonts w:ascii="Arial" w:cs="Arial" w:eastAsia="Arial" w:hAnsi="Arial"/>
                <w:color w:val="4A3E2E"/>
                <w:sz w:val="20"/>
                <w:szCs w:val="20"/>
              </w:rPr>
              <w:t xml:space="preserve">A living log of what dysregulates this specific child. Parents tag each meltdown with what preceded it — loud classroom, fire drill, schedule change. The AI builds a personal trigger map and warns before predictable trigger windows.</w:t>
            </w:r>
          </w:p>
        </w:tc>
      </w:tr>
      <w:tr>
        <w:tc>
          <w:tcPr>
            <w:tcW w:type="dxa" w:w="700"/>
            <w:tcBorders>
              <w:top w:val="single" w:color="E6DFD0" w:sz="6"/>
              <w:left w:val="single" w:color="E6DFD0" w:sz="6"/>
              <w:bottom w:val="single" w:color="E6DFD0" w:sz="6"/>
              <w:right w:val="none" w:color="FFFFFF" w:sz="0"/>
            </w:tcBorders>
            <w:shd w:fill="F3EBFA" w:val="clear"/>
            <w:tcMar>
              <w:top w:type="dxa" w:w="140"/>
              <w:left w:type="dxa" w:w="120"/>
              <w:bottom w:type="dxa" w:w="140"/>
              <w:right w:type="dxa" w:w="80"/>
            </w:tcMar>
            <w:vAlign w:val="center"/>
          </w:tcPr>
          <w:p>
            <w:pPr>
              <w:jc w:val="center"/>
            </w:pPr>
            <w:r>
              <w:rPr>
                <w:rFonts w:ascii="Arial" w:cs="Arial" w:eastAsia="Arial" w:hAnsi="Arial"/>
                <w:sz w:val="36"/>
                <w:szCs w:val="36"/>
              </w:rPr>
              <w:t xml:space="preserve">👩‍⚕</w:t>
            </w:r>
          </w:p>
        </w:tc>
        <w:tc>
          <w:tcPr>
            <w:tcW w:type="dxa" w:w="2400"/>
            <w:tcBorders>
              <w:top w:val="single" w:color="E6DFD0" w:sz="6"/>
              <w:left w:val="none" w:color="FFFFFF" w:sz="0"/>
              <w:bottom w:val="single" w:color="E6DFD0" w:sz="6"/>
              <w:right w:val="none" w:color="FFFFFF" w:sz="0"/>
            </w:tcBorders>
            <w:tcMar>
              <w:top w:type="dxa" w:w="140"/>
              <w:left w:type="dxa" w:w="120"/>
              <w:bottom w:type="dxa" w:w="140"/>
              <w:right w:type="dxa" w:w="120"/>
            </w:tcMar>
            <w:vAlign w:val="center"/>
          </w:tcPr>
          <w:p>
            <w:r>
              <w:rPr>
                <w:rFonts w:ascii="Arial" w:cs="Arial" w:eastAsia="Arial" w:hAnsi="Arial"/>
                <w:b/>
                <w:bCs/>
                <w:color w:val="1C1408"/>
                <w:sz w:val="22"/>
                <w:szCs w:val="22"/>
              </w:rPr>
              <w:t xml:space="preserve">Therapist</w:t>
            </w:r>
          </w:p>
        </w:tc>
        <w:tc>
          <w:tcPr>
            <w:tcW w:type="dxa" w:w="6260"/>
            <w:tcBorders>
              <w:top w:val="single" w:color="E6DFD0" w:sz="6"/>
              <w:left w:val="none" w:color="FFFFFF" w:sz="0"/>
              <w:bottom w:val="single" w:color="E6DFD0" w:sz="6"/>
              <w:right w:val="single" w:color="E6DFD0" w:sz="6"/>
            </w:tcBorders>
            <w:tcMar>
              <w:top w:type="dxa" w:w="140"/>
              <w:left w:type="dxa" w:w="120"/>
              <w:bottom w:type="dxa" w:w="140"/>
              <w:right w:type="dxa" w:w="200"/>
            </w:tcMar>
            <w:vAlign w:val="center"/>
          </w:tcPr>
          <w:p>
            <w:pPr>
              <w:spacing w:line="280"/>
            </w:pPr>
            <w:r>
              <w:rPr>
                <w:rFonts w:ascii="Arial" w:cs="Arial" w:eastAsia="Arial" w:hAnsi="Arial"/>
                <w:color w:val="4A3E2E"/>
                <w:sz w:val="20"/>
                <w:szCs w:val="20"/>
              </w:rPr>
              <w:t xml:space="preserve">Secure shared dashboard for the child’s therapist, psychologist, or SEN coordinator. Read-only access to the biometric timeline and activity completion history — not personal messages or contacts. Therapy becomes evidence-informed.</w:t>
            </w:r>
          </w:p>
        </w:tc>
      </w:tr>
      <w:tr>
        <w:tc>
          <w:tcPr>
            <w:tcW w:type="dxa" w:w="700"/>
            <w:tcBorders>
              <w:top w:val="single" w:color="E6DFD0" w:sz="6"/>
              <w:left w:val="single" w:color="E6DFD0" w:sz="6"/>
              <w:bottom w:val="single" w:color="E6DFD0" w:sz="6"/>
              <w:right w:val="none" w:color="FFFFFF" w:sz="0"/>
            </w:tcBorders>
            <w:shd w:fill="F3EBFA" w:val="clear"/>
            <w:tcMar>
              <w:top w:type="dxa" w:w="140"/>
              <w:left w:type="dxa" w:w="120"/>
              <w:bottom w:type="dxa" w:w="140"/>
              <w:right w:type="dxa" w:w="80"/>
            </w:tcMar>
            <w:vAlign w:val="center"/>
          </w:tcPr>
          <w:p>
            <w:pPr>
              <w:jc w:val="center"/>
            </w:pPr>
            <w:r>
              <w:rPr>
                <w:rFonts w:ascii="Arial" w:cs="Arial" w:eastAsia="Arial" w:hAnsi="Arial"/>
                <w:sz w:val="36"/>
                <w:szCs w:val="36"/>
              </w:rPr>
              <w:t xml:space="preserve">🎯</w:t>
            </w:r>
          </w:p>
        </w:tc>
        <w:tc>
          <w:tcPr>
            <w:tcW w:type="dxa" w:w="2400"/>
            <w:tcBorders>
              <w:top w:val="single" w:color="E6DFD0" w:sz="6"/>
              <w:left w:val="none" w:color="FFFFFF" w:sz="0"/>
              <w:bottom w:val="single" w:color="E6DFD0" w:sz="6"/>
              <w:right w:val="none" w:color="FFFFFF" w:sz="0"/>
            </w:tcBorders>
            <w:tcMar>
              <w:top w:type="dxa" w:w="140"/>
              <w:left w:type="dxa" w:w="120"/>
              <w:bottom w:type="dxa" w:w="140"/>
              <w:right w:type="dxa" w:w="120"/>
            </w:tcMar>
            <w:vAlign w:val="center"/>
          </w:tcPr>
          <w:p>
            <w:r>
              <w:rPr>
                <w:rFonts w:ascii="Arial" w:cs="Arial" w:eastAsia="Arial" w:hAnsi="Arial"/>
                <w:b/>
                <w:bCs/>
                <w:color w:val="1C1408"/>
                <w:sz w:val="22"/>
                <w:szCs w:val="22"/>
              </w:rPr>
              <w:t xml:space="preserve">Focus</w:t>
            </w:r>
          </w:p>
        </w:tc>
        <w:tc>
          <w:tcPr>
            <w:tcW w:type="dxa" w:w="6260"/>
            <w:tcBorders>
              <w:top w:val="single" w:color="E6DFD0" w:sz="6"/>
              <w:left w:val="none" w:color="FFFFFF" w:sz="0"/>
              <w:bottom w:val="single" w:color="E6DFD0" w:sz="6"/>
              <w:right w:val="single" w:color="E6DFD0" w:sz="6"/>
            </w:tcBorders>
            <w:tcMar>
              <w:top w:type="dxa" w:w="140"/>
              <w:left w:type="dxa" w:w="120"/>
              <w:bottom w:type="dxa" w:w="140"/>
              <w:right w:type="dxa" w:w="200"/>
            </w:tcMar>
            <w:vAlign w:val="center"/>
          </w:tcPr>
          <w:p>
            <w:pPr>
              <w:spacing w:line="280"/>
            </w:pPr>
            <w:r>
              <w:rPr>
                <w:rFonts w:ascii="Arial" w:cs="Arial" w:eastAsia="Arial" w:hAnsi="Arial"/>
                <w:color w:val="4A3E2E"/>
                <w:sz w:val="20"/>
                <w:szCs w:val="20"/>
              </w:rPr>
              <w:t xml:space="preserve">ADHD-specific focus sessions with real-time biometric feedback. When focus breaks, a gentle buzz redirects without shame. Completed sessions appear as a visible growth curve in the child’s dashboard.</w:t>
            </w:r>
          </w:p>
        </w:tc>
      </w:tr>
      <w:tr>
        <w:tc>
          <w:tcPr>
            <w:tcW w:type="dxa" w:w="700"/>
            <w:tcBorders>
              <w:top w:val="single" w:color="E6DFD0" w:sz="6"/>
              <w:left w:val="single" w:color="E6DFD0" w:sz="6"/>
              <w:bottom w:val="single" w:color="E6DFD0" w:sz="6"/>
              <w:right w:val="none" w:color="FFFFFF" w:sz="0"/>
            </w:tcBorders>
            <w:shd w:fill="F3EBFA" w:val="clear"/>
            <w:tcMar>
              <w:top w:type="dxa" w:w="140"/>
              <w:left w:type="dxa" w:w="120"/>
              <w:bottom w:type="dxa" w:w="140"/>
              <w:right w:type="dxa" w:w="80"/>
            </w:tcMar>
            <w:vAlign w:val="center"/>
          </w:tcPr>
          <w:p>
            <w:pPr>
              <w:jc w:val="center"/>
            </w:pPr>
            <w:r>
              <w:rPr>
                <w:rFonts w:ascii="Arial" w:cs="Arial" w:eastAsia="Arial" w:hAnsi="Arial"/>
                <w:sz w:val="36"/>
                <w:szCs w:val="36"/>
              </w:rPr>
              <w:t xml:space="preserve">🗣</w:t>
            </w:r>
          </w:p>
        </w:tc>
        <w:tc>
          <w:tcPr>
            <w:tcW w:type="dxa" w:w="2400"/>
            <w:tcBorders>
              <w:top w:val="single" w:color="E6DFD0" w:sz="6"/>
              <w:left w:val="none" w:color="FFFFFF" w:sz="0"/>
              <w:bottom w:val="single" w:color="E6DFD0" w:sz="6"/>
              <w:right w:val="none" w:color="FFFFFF" w:sz="0"/>
            </w:tcBorders>
            <w:tcMar>
              <w:top w:type="dxa" w:w="140"/>
              <w:left w:type="dxa" w:w="120"/>
              <w:bottom w:type="dxa" w:w="140"/>
              <w:right w:type="dxa" w:w="120"/>
            </w:tcMar>
            <w:vAlign w:val="center"/>
          </w:tcPr>
          <w:p>
            <w:r>
              <w:rPr>
                <w:rFonts w:ascii="Arial" w:cs="Arial" w:eastAsia="Arial" w:hAnsi="Arial"/>
                <w:b/>
                <w:bCs/>
                <w:color w:val="1C1408"/>
                <w:sz w:val="22"/>
                <w:szCs w:val="22"/>
              </w:rPr>
              <w:t xml:space="preserve">Speech</w:t>
            </w:r>
          </w:p>
        </w:tc>
        <w:tc>
          <w:tcPr>
            <w:tcW w:type="dxa" w:w="6260"/>
            <w:tcBorders>
              <w:top w:val="single" w:color="E6DFD0" w:sz="6"/>
              <w:left w:val="none" w:color="FFFFFF" w:sz="0"/>
              <w:bottom w:val="single" w:color="E6DFD0" w:sz="6"/>
              <w:right w:val="single" w:color="E6DFD0" w:sz="6"/>
            </w:tcBorders>
            <w:tcMar>
              <w:top w:type="dxa" w:w="140"/>
              <w:left w:type="dxa" w:w="120"/>
              <w:bottom w:type="dxa" w:w="140"/>
              <w:right w:type="dxa" w:w="200"/>
            </w:tcMar>
            <w:vAlign w:val="center"/>
          </w:tcPr>
          <w:p>
            <w:pPr>
              <w:spacing w:line="280"/>
            </w:pPr>
            <w:r>
              <w:rPr>
                <w:rFonts w:ascii="Arial" w:cs="Arial" w:eastAsia="Arial" w:hAnsi="Arial"/>
                <w:color w:val="4A3E2E"/>
                <w:sz w:val="20"/>
                <w:szCs w:val="20"/>
              </w:rPr>
              <w:t xml:space="preserve">Speech exercise prompts tuned for apraxia, articulation delay, and selective mutism. HR response shows whether an exercise was stressful or easy — helping SLTs adjust difficulty next session.</w:t>
            </w:r>
          </w:p>
        </w:tc>
      </w:tr>
      <w:tr>
        <w:tc>
          <w:tcPr>
            <w:tcW w:type="dxa" w:w="700"/>
            <w:tcBorders>
              <w:top w:val="single" w:color="E6DFD0" w:sz="6"/>
              <w:left w:val="single" w:color="E6DFD0" w:sz="6"/>
              <w:bottom w:val="single" w:color="E6DFD0" w:sz="6"/>
              <w:right w:val="none" w:color="FFFFFF" w:sz="0"/>
            </w:tcBorders>
            <w:shd w:fill="F3EBFA" w:val="clear"/>
            <w:tcMar>
              <w:top w:type="dxa" w:w="140"/>
              <w:left w:type="dxa" w:w="120"/>
              <w:bottom w:type="dxa" w:w="140"/>
              <w:right w:type="dxa" w:w="80"/>
            </w:tcMar>
            <w:vAlign w:val="center"/>
          </w:tcPr>
          <w:p>
            <w:pPr>
              <w:jc w:val="center"/>
            </w:pPr>
            <w:r>
              <w:rPr>
                <w:rFonts w:ascii="Arial" w:cs="Arial" w:eastAsia="Arial" w:hAnsi="Arial"/>
                <w:sz w:val="36"/>
                <w:szCs w:val="36"/>
              </w:rPr>
              <w:t xml:space="preserve">🧩</w:t>
            </w:r>
          </w:p>
        </w:tc>
        <w:tc>
          <w:tcPr>
            <w:tcW w:type="dxa" w:w="2400"/>
            <w:tcBorders>
              <w:top w:val="single" w:color="E6DFD0" w:sz="6"/>
              <w:left w:val="none" w:color="FFFFFF" w:sz="0"/>
              <w:bottom w:val="single" w:color="E6DFD0" w:sz="6"/>
              <w:right w:val="none" w:color="FFFFFF" w:sz="0"/>
            </w:tcBorders>
            <w:tcMar>
              <w:top w:type="dxa" w:w="140"/>
              <w:left w:type="dxa" w:w="120"/>
              <w:bottom w:type="dxa" w:w="140"/>
              <w:right w:type="dxa" w:w="120"/>
            </w:tcMar>
            <w:vAlign w:val="center"/>
          </w:tcPr>
          <w:p>
            <w:r>
              <w:rPr>
                <w:rFonts w:ascii="Arial" w:cs="Arial" w:eastAsia="Arial" w:hAnsi="Arial"/>
                <w:b/>
                <w:bCs/>
                <w:color w:val="1C1408"/>
                <w:sz w:val="22"/>
                <w:szCs w:val="22"/>
              </w:rPr>
              <w:t xml:space="preserve">Sensory Toolkit</w:t>
            </w:r>
          </w:p>
        </w:tc>
        <w:tc>
          <w:tcPr>
            <w:tcW w:type="dxa" w:w="6260"/>
            <w:tcBorders>
              <w:top w:val="single" w:color="E6DFD0" w:sz="6"/>
              <w:left w:val="none" w:color="FFFFFF" w:sz="0"/>
              <w:bottom w:val="single" w:color="E6DFD0" w:sz="6"/>
              <w:right w:val="single" w:color="E6DFD0" w:sz="6"/>
            </w:tcBorders>
            <w:tcMar>
              <w:top w:type="dxa" w:w="140"/>
              <w:left w:type="dxa" w:w="120"/>
              <w:bottom w:type="dxa" w:w="140"/>
              <w:right w:type="dxa" w:w="200"/>
            </w:tcMar>
            <w:vAlign w:val="center"/>
          </w:tcPr>
          <w:p>
            <w:pPr>
              <w:spacing w:line="280"/>
            </w:pPr>
            <w:r>
              <w:rPr>
                <w:rFonts w:ascii="Arial" w:cs="Arial" w:eastAsia="Arial" w:hAnsi="Arial"/>
                <w:color w:val="4A3E2E"/>
                <w:sz w:val="20"/>
                <w:szCs w:val="20"/>
              </w:rPr>
              <w:t xml:space="preserve">On-demand access to the child’s personal regulation strategies — favourite music, weighted-blanket reminder, compression squeezes. The AI learns which tool works best at which time of day and offers the right one first.</w:t>
            </w:r>
          </w:p>
        </w:tc>
      </w:tr>
      <w:tr>
        <w:tc>
          <w:tcPr>
            <w:tcW w:type="dxa" w:w="700"/>
            <w:tcBorders>
              <w:top w:val="single" w:color="E6DFD0" w:sz="6"/>
              <w:left w:val="single" w:color="E6DFD0" w:sz="6"/>
              <w:bottom w:val="single" w:color="E6DFD0" w:sz="6"/>
              <w:right w:val="none" w:color="FFFFFF" w:sz="0"/>
            </w:tcBorders>
            <w:shd w:fill="F3EBFA" w:val="clear"/>
            <w:tcMar>
              <w:top w:type="dxa" w:w="140"/>
              <w:left w:type="dxa" w:w="120"/>
              <w:bottom w:type="dxa" w:w="140"/>
              <w:right w:type="dxa" w:w="80"/>
            </w:tcMar>
            <w:vAlign w:val="center"/>
          </w:tcPr>
          <w:p>
            <w:pPr>
              <w:jc w:val="center"/>
            </w:pPr>
            <w:r>
              <w:rPr>
                <w:rFonts w:ascii="Arial" w:cs="Arial" w:eastAsia="Arial" w:hAnsi="Arial"/>
                <w:sz w:val="36"/>
                <w:szCs w:val="36"/>
              </w:rPr>
              <w:t xml:space="preserve">🔄</w:t>
            </w:r>
          </w:p>
        </w:tc>
        <w:tc>
          <w:tcPr>
            <w:tcW w:type="dxa" w:w="2400"/>
            <w:tcBorders>
              <w:top w:val="single" w:color="E6DFD0" w:sz="6"/>
              <w:left w:val="none" w:color="FFFFFF" w:sz="0"/>
              <w:bottom w:val="single" w:color="E6DFD0" w:sz="6"/>
              <w:right w:val="none" w:color="FFFFFF" w:sz="0"/>
            </w:tcBorders>
            <w:tcMar>
              <w:top w:type="dxa" w:w="140"/>
              <w:left w:type="dxa" w:w="120"/>
              <w:bottom w:type="dxa" w:w="140"/>
              <w:right w:type="dxa" w:w="120"/>
            </w:tcMar>
            <w:vAlign w:val="center"/>
          </w:tcPr>
          <w:p>
            <w:r>
              <w:rPr>
                <w:rFonts w:ascii="Arial" w:cs="Arial" w:eastAsia="Arial" w:hAnsi="Arial"/>
                <w:b/>
                <w:bCs/>
                <w:color w:val="1C1408"/>
                <w:sz w:val="22"/>
                <w:szCs w:val="22"/>
              </w:rPr>
              <w:t xml:space="preserve">Transition Helper</w:t>
            </w:r>
          </w:p>
        </w:tc>
        <w:tc>
          <w:tcPr>
            <w:tcW w:type="dxa" w:w="6260"/>
            <w:tcBorders>
              <w:top w:val="single" w:color="E6DFD0" w:sz="6"/>
              <w:left w:val="none" w:color="FFFFFF" w:sz="0"/>
              <w:bottom w:val="single" w:color="E6DFD0" w:sz="6"/>
              <w:right w:val="single" w:color="E6DFD0" w:sz="6"/>
            </w:tcBorders>
            <w:tcMar>
              <w:top w:type="dxa" w:w="140"/>
              <w:left w:type="dxa" w:w="120"/>
              <w:bottom w:type="dxa" w:w="140"/>
              <w:right w:type="dxa" w:w="200"/>
            </w:tcMar>
            <w:vAlign w:val="center"/>
          </w:tcPr>
          <w:p>
            <w:pPr>
              <w:spacing w:line="280"/>
            </w:pPr>
            <w:r>
              <w:rPr>
                <w:rFonts w:ascii="Arial" w:cs="Arial" w:eastAsia="Arial" w:hAnsi="Arial"/>
                <w:color w:val="4A3E2E"/>
                <w:sz w:val="20"/>
                <w:szCs w:val="20"/>
              </w:rPr>
              <w:t xml:space="preserve">Visual countdown and emotional-state prep for transitions — ending playtime, leaving the house, classroom changes. GPS-aware: senses known transitions and pre-emptively offers a mini regulation sequence.</w:t>
            </w:r>
          </w:p>
        </w:tc>
      </w:tr>
      <w:tr>
        <w:tc>
          <w:tcPr>
            <w:tcW w:type="dxa" w:w="700"/>
            <w:tcBorders>
              <w:top w:val="single" w:color="E6DFD0" w:sz="6"/>
              <w:left w:val="single" w:color="E6DFD0" w:sz="6"/>
              <w:bottom w:val="single" w:color="E6DFD0" w:sz="6"/>
              <w:right w:val="none" w:color="FFFFFF" w:sz="0"/>
            </w:tcBorders>
            <w:shd w:fill="F3EBFA" w:val="clear"/>
            <w:tcMar>
              <w:top w:type="dxa" w:w="140"/>
              <w:left w:type="dxa" w:w="120"/>
              <w:bottom w:type="dxa" w:w="140"/>
              <w:right w:type="dxa" w:w="80"/>
            </w:tcMar>
            <w:vAlign w:val="center"/>
          </w:tcPr>
          <w:p>
            <w:pPr>
              <w:jc w:val="center"/>
            </w:pPr>
            <w:r>
              <w:rPr>
                <w:rFonts w:ascii="Arial" w:cs="Arial" w:eastAsia="Arial" w:hAnsi="Arial"/>
                <w:sz w:val="36"/>
                <w:szCs w:val="36"/>
              </w:rPr>
              <w:t xml:space="preserve">🎮</w:t>
            </w:r>
          </w:p>
        </w:tc>
        <w:tc>
          <w:tcPr>
            <w:tcW w:type="dxa" w:w="2400"/>
            <w:tcBorders>
              <w:top w:val="single" w:color="E6DFD0" w:sz="6"/>
              <w:left w:val="none" w:color="FFFFFF" w:sz="0"/>
              <w:bottom w:val="single" w:color="E6DFD0" w:sz="6"/>
              <w:right w:val="none" w:color="FFFFFF" w:sz="0"/>
            </w:tcBorders>
            <w:tcMar>
              <w:top w:type="dxa" w:w="140"/>
              <w:left w:type="dxa" w:w="120"/>
              <w:bottom w:type="dxa" w:w="140"/>
              <w:right w:type="dxa" w:w="120"/>
            </w:tcMar>
            <w:vAlign w:val="center"/>
          </w:tcPr>
          <w:p>
            <w:r>
              <w:rPr>
                <w:rFonts w:ascii="Arial" w:cs="Arial" w:eastAsia="Arial" w:hAnsi="Arial"/>
                <w:b/>
                <w:bCs/>
                <w:color w:val="1C1408"/>
                <w:sz w:val="22"/>
                <w:szCs w:val="22"/>
              </w:rPr>
              <w:t xml:space="preserve">Intervention Games</w:t>
            </w:r>
          </w:p>
        </w:tc>
        <w:tc>
          <w:tcPr>
            <w:tcW w:type="dxa" w:w="6260"/>
            <w:tcBorders>
              <w:top w:val="single" w:color="E6DFD0" w:sz="6"/>
              <w:left w:val="none" w:color="FFFFFF" w:sz="0"/>
              <w:bottom w:val="single" w:color="E6DFD0" w:sz="6"/>
              <w:right w:val="single" w:color="E6DFD0" w:sz="6"/>
            </w:tcBorders>
            <w:tcMar>
              <w:top w:type="dxa" w:w="140"/>
              <w:left w:type="dxa" w:w="120"/>
              <w:bottom w:type="dxa" w:w="140"/>
              <w:right w:type="dxa" w:w="200"/>
            </w:tcMar>
            <w:vAlign w:val="center"/>
          </w:tcPr>
          <w:p>
            <w:pPr>
              <w:spacing w:line="280"/>
            </w:pPr>
            <w:r>
              <w:rPr>
                <w:rFonts w:ascii="Arial" w:cs="Arial" w:eastAsia="Arial" w:hAnsi="Arial"/>
                <w:color w:val="4A3E2E"/>
                <w:sz w:val="20"/>
                <w:szCs w:val="20"/>
              </w:rPr>
              <w:t xml:space="preserve">Short evidence-based mini-games that double as interventions: emotion identification, perspective-taking puzzles, social-cue matching. Difficulty adapts to the child’s cognitive profile.</w:t>
            </w:r>
          </w:p>
        </w:tc>
      </w:tr>
      <w:tr>
        <w:tc>
          <w:tcPr>
            <w:tcW w:type="dxa" w:w="700"/>
            <w:tcBorders>
              <w:top w:val="single" w:color="E6DFD0" w:sz="6"/>
              <w:left w:val="single" w:color="E6DFD0" w:sz="6"/>
              <w:bottom w:val="single" w:color="E6DFD0" w:sz="6"/>
              <w:right w:val="none" w:color="FFFFFF" w:sz="0"/>
            </w:tcBorders>
            <w:shd w:fill="F3EBFA" w:val="clear"/>
            <w:tcMar>
              <w:top w:type="dxa" w:w="140"/>
              <w:left w:type="dxa" w:w="120"/>
              <w:bottom w:type="dxa" w:w="140"/>
              <w:right w:type="dxa" w:w="80"/>
            </w:tcMar>
            <w:vAlign w:val="center"/>
          </w:tcPr>
          <w:p>
            <w:pPr>
              <w:jc w:val="center"/>
            </w:pPr>
            <w:r>
              <w:rPr>
                <w:rFonts w:ascii="Arial" w:cs="Arial" w:eastAsia="Arial" w:hAnsi="Arial"/>
                <w:sz w:val="36"/>
                <w:szCs w:val="36"/>
              </w:rPr>
              <w:t xml:space="preserve">😊</w:t>
            </w:r>
          </w:p>
        </w:tc>
        <w:tc>
          <w:tcPr>
            <w:tcW w:type="dxa" w:w="2400"/>
            <w:tcBorders>
              <w:top w:val="single" w:color="E6DFD0" w:sz="6"/>
              <w:left w:val="none" w:color="FFFFFF" w:sz="0"/>
              <w:bottom w:val="single" w:color="E6DFD0" w:sz="6"/>
              <w:right w:val="none" w:color="FFFFFF" w:sz="0"/>
            </w:tcBorders>
            <w:tcMar>
              <w:top w:type="dxa" w:w="140"/>
              <w:left w:type="dxa" w:w="120"/>
              <w:bottom w:type="dxa" w:w="140"/>
              <w:right w:type="dxa" w:w="120"/>
            </w:tcMar>
            <w:vAlign w:val="center"/>
          </w:tcPr>
          <w:p>
            <w:r>
              <w:rPr>
                <w:rFonts w:ascii="Arial" w:cs="Arial" w:eastAsia="Arial" w:hAnsi="Arial"/>
                <w:b/>
                <w:bCs/>
                <w:color w:val="1C1408"/>
                <w:sz w:val="22"/>
                <w:szCs w:val="22"/>
              </w:rPr>
              <w:t xml:space="preserve">Emotion Mirror</w:t>
            </w:r>
          </w:p>
        </w:tc>
        <w:tc>
          <w:tcPr>
            <w:tcW w:type="dxa" w:w="6260"/>
            <w:tcBorders>
              <w:top w:val="single" w:color="E6DFD0" w:sz="6"/>
              <w:left w:val="none" w:color="FFFFFF" w:sz="0"/>
              <w:bottom w:val="single" w:color="E6DFD0" w:sz="6"/>
              <w:right w:val="single" w:color="E6DFD0" w:sz="6"/>
            </w:tcBorders>
            <w:tcMar>
              <w:top w:type="dxa" w:w="140"/>
              <w:left w:type="dxa" w:w="120"/>
              <w:bottom w:type="dxa" w:w="140"/>
              <w:right w:type="dxa" w:w="200"/>
            </w:tcMar>
            <w:vAlign w:val="center"/>
          </w:tcPr>
          <w:p>
            <w:pPr>
              <w:spacing w:line="280"/>
            </w:pPr>
            <w:r>
              <w:rPr>
                <w:rFonts w:ascii="Arial" w:cs="Arial" w:eastAsia="Arial" w:hAnsi="Arial"/>
                <w:color w:val="4A3E2E"/>
                <w:sz w:val="20"/>
                <w:szCs w:val="20"/>
              </w:rPr>
              <w:t xml:space="preserve">The child sees their own emotional state in simple icons. Feeds back directly into the AI’s interpretation layer — when the child labels “frustrated” during a stress spike, the model learns that signature for that specific child.</w:t>
            </w:r>
          </w:p>
        </w:tc>
      </w:tr>
    </w:tbl>
    <w:p>
      <w:pPr>
        <w:spacing w:after="280" w:before="0"/>
      </w:pPr>
      <w:r>
        <w:rPr>
          <w:rFonts w:ascii="Arial" w:cs="Arial" w:eastAsia="Arial" w:hAnsi="Arial"/>
          <w:b w:val="false"/>
          <w:bCs w:val="false"/>
          <w:i w:val="false"/>
          <w:iCs w:val="false"/>
          <w:color w:val="4A3E2E"/>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8660"/>
      </w:tblGrid>
      <w:tr>
        <w:tc>
          <w:tcPr>
            <w:tcW w:type="dxa" w:w="700"/>
            <w:tcBorders>
              <w:top w:val="none" w:color="FFFFFF" w:sz="0"/>
              <w:left w:val="none" w:color="FFFFFF" w:sz="0"/>
              <w:bottom w:val="none" w:color="FFFFFF" w:sz="0"/>
              <w:right w:val="none" w:color="FFFFFF" w:sz="0"/>
            </w:tcBorders>
            <w:shd w:fill="E8EFF9" w:val="clear"/>
            <w:tcMar>
              <w:top w:type="dxa" w:w="160"/>
              <w:left w:type="dxa" w:w="160"/>
              <w:bottom w:type="dxa" w:w="160"/>
              <w:right w:type="dxa" w:w="80"/>
            </w:tcMar>
            <w:vAlign w:val="top"/>
          </w:tcPr>
          <w:p>
            <w:pPr>
              <w:jc w:val="center"/>
            </w:pPr>
            <w:r>
              <w:rPr>
                <w:rFonts w:ascii="Arial" w:cs="Arial" w:eastAsia="Arial" w:hAnsi="Arial"/>
                <w:b/>
                <w:bCs/>
                <w:color w:val="1A3F80"/>
                <w:sz w:val="36"/>
                <w:szCs w:val="36"/>
              </w:rPr>
              <w:t xml:space="preserve">i</w:t>
            </w:r>
          </w:p>
        </w:tc>
        <w:tc>
          <w:tcPr>
            <w:tcW w:type="dxa" w:w="8660"/>
            <w:tcBorders>
              <w:top w:val="none" w:color="FFFFFF" w:sz="0"/>
              <w:left w:val="none" w:color="FFFFFF" w:sz="0"/>
              <w:bottom w:val="none" w:color="FFFFFF" w:sz="0"/>
              <w:right w:val="none" w:color="FFFFFF" w:sz="0"/>
            </w:tcBorders>
            <w:shd w:fill="E8EFF9" w:val="clear"/>
            <w:tcMar>
              <w:top w:type="dxa" w:w="160"/>
              <w:left w:type="dxa" w:w="120"/>
              <w:bottom w:type="dxa" w:w="160"/>
              <w:right w:type="dxa" w:w="200"/>
            </w:tcMar>
          </w:tcPr>
          <w:p>
            <w:pPr>
              <w:spacing w:after="80"/>
            </w:pPr>
            <w:r>
              <w:rPr>
                <w:rFonts w:ascii="Arial" w:cs="Arial" w:eastAsia="Arial" w:hAnsi="Arial"/>
                <w:b/>
                <w:bCs/>
                <w:color w:val="1A3F80"/>
                <w:sz w:val="22"/>
                <w:szCs w:val="22"/>
              </w:rPr>
              <w:t xml:space="preserve">Everything is personalized</w:t>
            </w:r>
          </w:p>
          <w:p>
            <w:pPr>
              <w:spacing w:after="0" w:line="300"/>
            </w:pPr>
            <w:r>
              <w:rPr>
                <w:rFonts w:ascii="Arial" w:cs="Arial" w:eastAsia="Arial" w:hAnsi="Arial"/>
                <w:color w:val="4A3E2E"/>
                <w:sz w:val="20"/>
                <w:szCs w:val="20"/>
              </w:rPr>
              <w:t xml:space="preserve">Explorer does not work from a fixed script. Over time, it learns which activities calm your specific child best, what times of day they most need support, and which triggers lead to which responses. The longer it runs, the better it becomes at meeting your child exactly where they are.</w:t>
            </w:r>
          </w:p>
        </w:tc>
      </w:tr>
    </w:tbl>
    <w:p>
      <w:pPr>
        <w:spacing w:after="240" w:before="0"/>
      </w:pPr>
      <w:r>
        <w:rPr>
          <w:rFonts w:ascii="Arial" w:cs="Arial" w:eastAsia="Arial" w:hAnsi="Arial"/>
          <w:b w:val="false"/>
          <w:bCs w:val="false"/>
          <w:i w:val="false"/>
          <w:iCs w:val="false"/>
          <w:color w:val="4A3E2E"/>
          <w:sz w:val="22"/>
          <w:szCs w:val="22"/>
        </w:rPr>
        <w:t xml:space="preserve"/>
      </w:r>
    </w:p>
    <w:p>
      <w:r>
        <w:br w:type="page"/>
      </w:r>
    </w:p>
    <w:p>
      <w:pPr>
        <w:spacing w:after="80" w:before="0"/>
      </w:pPr>
      <w:r>
        <w:rPr>
          <w:rFonts w:ascii="Arial" w:cs="Arial" w:eastAsia="Arial" w:hAnsi="Arial"/>
          <w:b/>
          <w:bCs/>
          <w:color w:val="6B3FA0"/>
          <w:spacing w:val="40"/>
          <w:sz w:val="18"/>
          <w:szCs w:val="18"/>
        </w:rPr>
        <w:t xml:space="preserve">THE DETECTOR + EXPLORER LOOP</w:t>
      </w:r>
    </w:p>
    <w:p>
      <w:pPr>
        <w:pStyle w:val="Heading1"/>
        <w:spacing w:after="200" w:before="360"/>
      </w:pPr>
      <w:r>
        <w:rPr>
          <w:rFonts w:ascii="Arial" w:cs="Arial" w:eastAsia="Arial" w:hAnsi="Arial"/>
          <w:b/>
          <w:bCs/>
          <w:color w:val="C8301C"/>
          <w:sz w:val="44"/>
          <w:szCs w:val="44"/>
        </w:rPr>
        <w:t xml:space="preserve">How Explorer works with the AI</w:t>
      </w:r>
    </w:p>
    <w:p>
      <w:pPr>
        <w:spacing w:after="80" w:before="0"/>
      </w:pPr>
      <w:r>
        <w:rPr>
          <w:rFonts w:ascii="Arial" w:cs="Arial" w:eastAsia="Arial" w:hAnsi="Arial"/>
          <w:b w:val="false"/>
          <w:bCs w:val="false"/>
          <w:i w:val="false"/>
          <w:iCs w:val="false"/>
          <w:color w:val="4A3E2E"/>
          <w:sz w:val="22"/>
          <w:szCs w:val="22"/>
        </w:rPr>
        <w:t xml:space="preserve"/>
      </w:r>
    </w:p>
    <w:p>
      <w:pPr>
        <w:spacing w:after="160" w:before="0" w:line="320"/>
        <w:jc w:val="left"/>
      </w:pPr>
      <w:r>
        <w:rPr>
          <w:rFonts w:ascii="Arial" w:cs="Arial" w:eastAsia="Arial" w:hAnsi="Arial"/>
          <w:b w:val="false"/>
          <w:bCs w:val="false"/>
          <w:i w:val="false"/>
          <w:iCs w:val="false"/>
          <w:color w:val="4A3E2E"/>
          <w:sz w:val="22"/>
          <w:szCs w:val="22"/>
        </w:rPr>
        <w:t xml:space="preserve">This is the part that makes Explorer different from any other children’s wellbeing app:</w:t>
      </w:r>
    </w:p>
    <w:p>
      <w:pPr>
        <w:pStyle w:val="ListParagraph"/>
        <w:numPr>
          <w:ilvl w:val="0"/>
          <w:numId w:val="2"/>
        </w:numPr>
        <w:spacing w:after="120" w:before="0" w:line="320"/>
      </w:pPr>
      <w:r>
        <w:rPr>
          <w:rFonts w:ascii="Arial" w:cs="Arial" w:eastAsia="Arial" w:hAnsi="Arial"/>
          <w:b w:val="false"/>
          <w:bCs w:val="false"/>
          <w:i w:val="false"/>
          <w:iCs w:val="false"/>
          <w:color w:val="4A3E2E"/>
          <w:sz w:val="22"/>
          <w:szCs w:val="22"/>
        </w:rPr>
        <w:t xml:space="preserve">The Special Needs Detector runs quietly in the background — reading heart rate variability, skin conductance, respiration, and stimming patterns from your child’s wearable.</w:t>
      </w:r>
    </w:p>
    <w:p>
      <w:pPr>
        <w:pStyle w:val="ListParagraph"/>
        <w:numPr>
          <w:ilvl w:val="0"/>
          <w:numId w:val="2"/>
        </w:numPr>
        <w:spacing w:after="120" w:before="0" w:line="320"/>
      </w:pPr>
      <w:r>
        <w:rPr>
          <w:rFonts w:ascii="Arial" w:cs="Arial" w:eastAsia="Arial" w:hAnsi="Arial"/>
          <w:b w:val="false"/>
          <w:bCs w:val="false"/>
          <w:i w:val="false"/>
          <w:iCs w:val="false"/>
          <w:color w:val="4A3E2E"/>
          <w:sz w:val="22"/>
          <w:szCs w:val="22"/>
        </w:rPr>
        <w:t xml:space="preserve">When the AI detects that autonomic signals are drifting outside your child’s personal baseline, it calculates the likelihood of an approaching meltdown — typically 5 to 60 minutes in advance.</w:t>
      </w:r>
    </w:p>
    <w:p>
      <w:pPr>
        <w:pStyle w:val="ListParagraph"/>
        <w:numPr>
          <w:ilvl w:val="0"/>
          <w:numId w:val="2"/>
        </w:numPr>
        <w:spacing w:after="120" w:before="0" w:line="320"/>
      </w:pPr>
      <w:r>
        <w:rPr>
          <w:rFonts w:ascii="Arial" w:cs="Arial" w:eastAsia="Arial" w:hAnsi="Arial"/>
          <w:b/>
          <w:bCs/>
          <w:i w:val="false"/>
          <w:iCs w:val="false"/>
          <w:color w:val="6B3FA0"/>
          <w:sz w:val="22"/>
          <w:szCs w:val="22"/>
        </w:rPr>
        <w:t xml:space="preserve">Explorer launches the right activity automatically</w:t>
      </w:r>
      <w:r>
        <w:rPr>
          <w:rFonts w:ascii="Arial" w:cs="Arial" w:eastAsia="Arial" w:hAnsi="Arial"/>
          <w:b w:val="false"/>
          <w:bCs w:val="false"/>
          <w:i w:val="false"/>
          <w:iCs w:val="false"/>
          <w:color w:val="4A3E2E"/>
          <w:sz w:val="22"/>
          <w:szCs w:val="22"/>
        </w:rPr>
        <w:t xml:space="preserve"> — not a random one. If HRV is dropping and stimming is rising, it may start the Birthday Cake breathing sequence. If sensory overload is detected, it offers the Sensory Toolkit. If a transition is approaching, it primes the Transition Helper.</w:t>
      </w:r>
    </w:p>
    <w:p>
      <w:pPr>
        <w:pStyle w:val="ListParagraph"/>
        <w:numPr>
          <w:ilvl w:val="0"/>
          <w:numId w:val="2"/>
        </w:numPr>
        <w:spacing w:after="120" w:before="0" w:line="320"/>
      </w:pPr>
      <w:r>
        <w:rPr>
          <w:rFonts w:ascii="Arial" w:cs="Arial" w:eastAsia="Arial" w:hAnsi="Arial"/>
          <w:b w:val="false"/>
          <w:bCs w:val="false"/>
          <w:i/>
          <w:iCs/>
          <w:color w:val="4A3E2E"/>
          <w:sz w:val="22"/>
          <w:szCs w:val="22"/>
        </w:rPr>
        <w:t xml:space="preserve">You receive a plain-language alert on your phone via MyAlvoTriX. Not raw numbers — an interpreted explanation. "5:24 PM — Your son’s autonomic signature has shifted. He has had three sensory triggers since lunch. Explorer has launched the Birthday Cake sequence. Dim lights and reduce noise if possible."</w:t>
      </w:r>
    </w:p>
    <w:p>
      <w:pPr>
        <w:pStyle w:val="ListParagraph"/>
        <w:numPr>
          <w:ilvl w:val="0"/>
          <w:numId w:val="2"/>
        </w:numPr>
        <w:spacing w:after="120" w:before="0" w:line="320"/>
      </w:pPr>
      <w:r>
        <w:rPr>
          <w:rFonts w:ascii="Arial" w:cs="Arial" w:eastAsia="Arial" w:hAnsi="Arial"/>
          <w:b w:val="false"/>
          <w:bCs w:val="false"/>
          <w:i w:val="false"/>
          <w:iCs w:val="false"/>
          <w:color w:val="4A3E2E"/>
          <w:sz w:val="22"/>
          <w:szCs w:val="22"/>
        </w:rPr>
        <w:t xml:space="preserve">Your child sees a friendly activity. You see exactly what is happening and what to do. Your therapist, when they review the week, sees evidence-based progress on every intervention.</w:t>
      </w:r>
    </w:p>
    <w:p>
      <w:pPr>
        <w:spacing w:after="240" w:before="0"/>
      </w:pPr>
      <w:r>
        <w:rPr>
          <w:rFonts w:ascii="Arial" w:cs="Arial" w:eastAsia="Arial" w:hAnsi="Arial"/>
          <w:b w:val="false"/>
          <w:bCs w:val="false"/>
          <w:i w:val="false"/>
          <w:iCs w:val="false"/>
          <w:color w:val="4A3E2E"/>
          <w:sz w:val="22"/>
          <w:szCs w:val="22"/>
        </w:rPr>
        <w:t xml:space="preserve"/>
      </w:r>
    </w:p>
    <w:p>
      <w:pPr>
        <w:spacing w:after="240" w:before="0" w:line="320"/>
        <w:jc w:val="left"/>
      </w:pPr>
      <w:r>
        <w:rPr>
          <w:rFonts w:ascii="Arial" w:cs="Arial" w:eastAsia="Arial" w:hAnsi="Arial"/>
          <w:b/>
          <w:bCs/>
          <w:i w:val="false"/>
          <w:iCs w:val="false"/>
          <w:color w:val="1C1408"/>
          <w:sz w:val="22"/>
          <w:szCs w:val="22"/>
        </w:rPr>
        <w:t xml:space="preserve">This is the prediction-to-intervention loop, closed. </w:t>
      </w:r>
      <w:r>
        <w:rPr>
          <w:rFonts w:ascii="Arial" w:cs="Arial" w:eastAsia="Arial" w:hAnsi="Arial"/>
          <w:b w:val="false"/>
          <w:bCs w:val="false"/>
          <w:i w:val="false"/>
          <w:iCs w:val="false"/>
          <w:color w:val="4A3E2E"/>
          <w:sz w:val="22"/>
          <w:szCs w:val="22"/>
        </w:rPr>
        <w:t xml:space="preserve">The Detector alone would be half the answer. Explorer alone would be half the answer. Together, they are the full answer.</w:t>
      </w:r>
    </w:p>
    <w:p>
      <w:pPr>
        <w:pStyle w:val="Heading1"/>
        <w:spacing w:after="200" w:before="360"/>
      </w:pPr>
      <w:r>
        <w:rPr>
          <w:rFonts w:ascii="Arial" w:cs="Arial" w:eastAsia="Arial" w:hAnsi="Arial"/>
          <w:b/>
          <w:bCs/>
          <w:color w:val="C8301C"/>
          <w:sz w:val="44"/>
          <w:szCs w:val="44"/>
        </w:rPr>
        <w:t xml:space="preserve">Common questions</w:t>
      </w:r>
    </w:p>
    <w:p>
      <w:pPr>
        <w:spacing w:after="120" w:before="0"/>
      </w:pPr>
      <w:r>
        <w:rPr>
          <w:rFonts w:ascii="Arial" w:cs="Arial" w:eastAsia="Arial" w:hAnsi="Arial"/>
          <w:b w:val="false"/>
          <w:bCs w:val="false"/>
          <w:i w:val="false"/>
          <w:iCs w:val="false"/>
          <w:color w:val="4A3E2E"/>
          <w:sz w:val="22"/>
          <w:szCs w:val="22"/>
        </w:rPr>
        <w:t xml:space="preserve"/>
      </w:r>
    </w:p>
    <w:p>
      <w:pPr>
        <w:pStyle w:val="Heading3"/>
        <w:spacing w:after="120" w:before="220"/>
      </w:pPr>
      <w:r>
        <w:rPr>
          <w:rFonts w:ascii="Arial" w:cs="Arial" w:eastAsia="Arial" w:hAnsi="Arial"/>
          <w:b/>
          <w:bCs/>
          <w:color w:val="6B3FA0"/>
          <w:sz w:val="26"/>
          <w:szCs w:val="26"/>
        </w:rPr>
        <w:t xml:space="preserve">My child doesn’t want to wear the watch.</w:t>
      </w:r>
    </w:p>
    <w:p>
      <w:pPr>
        <w:spacing w:after="200" w:before="0" w:line="320"/>
        <w:jc w:val="left"/>
      </w:pPr>
      <w:r>
        <w:rPr>
          <w:rFonts w:ascii="Arial" w:cs="Arial" w:eastAsia="Arial" w:hAnsi="Arial"/>
          <w:b w:val="false"/>
          <w:bCs w:val="false"/>
          <w:i w:val="false"/>
          <w:iCs w:val="false"/>
          <w:color w:val="4A3E2E"/>
          <w:sz w:val="22"/>
          <w:szCs w:val="22"/>
        </w:rPr>
        <w:t xml:space="preserve">Start small. Many children adapt within a few days if the wearable is introduced as their “helper.” Let them pick an Explorer avatar and a watch face. Avoid making it feel like a monitoring tool — because it isn’t. Explorer is their companion, not a surveillance device.</w:t>
      </w:r>
    </w:p>
    <w:p>
      <w:pPr>
        <w:pStyle w:val="Heading3"/>
        <w:spacing w:after="120" w:before="220"/>
      </w:pPr>
      <w:r>
        <w:rPr>
          <w:rFonts w:ascii="Arial" w:cs="Arial" w:eastAsia="Arial" w:hAnsi="Arial"/>
          <w:b/>
          <w:bCs/>
          <w:color w:val="6B3FA0"/>
          <w:sz w:val="26"/>
          <w:szCs w:val="26"/>
        </w:rPr>
        <w:t xml:space="preserve">When will I start receiving meltdown-prediction alerts?</w:t>
      </w:r>
    </w:p>
    <w:p>
      <w:pPr>
        <w:spacing w:after="200" w:before="0" w:line="320"/>
        <w:jc w:val="left"/>
      </w:pPr>
      <w:r>
        <w:rPr>
          <w:rFonts w:ascii="Arial" w:cs="Arial" w:eastAsia="Arial" w:hAnsi="Arial"/>
          <w:b w:val="false"/>
          <w:bCs w:val="false"/>
          <w:i w:val="false"/>
          <w:iCs w:val="false"/>
          <w:color w:val="4A3E2E"/>
          <w:sz w:val="22"/>
          <w:szCs w:val="22"/>
        </w:rPr>
        <w:t xml:space="preserve">After the 14-day calibration period. Before day 15, Explorer is fully usable for your child, and basic alerts (SOS, fall, panic) are already active. The predictive autonomic alerts need the full baseline to be accurate — rushing them would mean false alarms.</w:t>
      </w:r>
    </w:p>
    <w:p>
      <w:pPr>
        <w:pStyle w:val="Heading3"/>
        <w:spacing w:after="120" w:before="220"/>
      </w:pPr>
      <w:r>
        <w:rPr>
          <w:rFonts w:ascii="Arial" w:cs="Arial" w:eastAsia="Arial" w:hAnsi="Arial"/>
          <w:b/>
          <w:bCs/>
          <w:color w:val="6B3FA0"/>
          <w:sz w:val="26"/>
          <w:szCs w:val="26"/>
        </w:rPr>
        <w:t xml:space="preserve">Can I add two children to one account?</w:t>
      </w:r>
    </w:p>
    <w:p>
      <w:pPr>
        <w:spacing w:after="200" w:before="0" w:line="320"/>
        <w:jc w:val="left"/>
      </w:pPr>
      <w:r>
        <w:rPr>
          <w:rFonts w:ascii="Arial" w:cs="Arial" w:eastAsia="Arial" w:hAnsi="Arial"/>
          <w:b w:val="false"/>
          <w:bCs w:val="false"/>
          <w:i w:val="false"/>
          <w:iCs w:val="false"/>
          <w:color w:val="4A3E2E"/>
          <w:sz w:val="22"/>
          <w:szCs w:val="22"/>
        </w:rPr>
        <w:t xml:space="preserve">Yes. Your MyAlvoTriX account supports multiple Wearers, each with their own profile (Autism / ADHD / both), baseline, and Explorer configuration. If you purchased Explorer APK for more than one child, each child will appear as a separate Wearer on your dashboard and Explorer will ask which one is using it on first launch.</w:t>
      </w:r>
    </w:p>
    <w:p>
      <w:pPr>
        <w:pStyle w:val="Heading3"/>
        <w:spacing w:after="120" w:before="220"/>
      </w:pPr>
      <w:r>
        <w:rPr>
          <w:rFonts w:ascii="Arial" w:cs="Arial" w:eastAsia="Arial" w:hAnsi="Arial"/>
          <w:b/>
          <w:bCs/>
          <w:color w:val="6B3FA0"/>
          <w:sz w:val="26"/>
          <w:szCs w:val="26"/>
        </w:rPr>
        <w:t xml:space="preserve">What if my child’s therapist wants access?</w:t>
      </w:r>
    </w:p>
    <w:p>
      <w:pPr>
        <w:spacing w:after="200" w:before="0" w:line="320"/>
        <w:jc w:val="left"/>
      </w:pPr>
      <w:r>
        <w:rPr>
          <w:rFonts w:ascii="Arial" w:cs="Arial" w:eastAsia="Arial" w:hAnsi="Arial"/>
          <w:b w:val="false"/>
          <w:bCs w:val="false"/>
          <w:i w:val="false"/>
          <w:iCs w:val="false"/>
          <w:color w:val="4A3E2E"/>
          <w:sz w:val="22"/>
          <w:szCs w:val="22"/>
        </w:rPr>
        <w:t xml:space="preserve">From the Wearer’s Edit screen in MyAlvoTriX, you can invite a clinician. They receive a separate, read-only professional view — with consolidated 30-day reports, trigger history, and activity engagement data. You remain in full control of the data at all times.</w:t>
      </w:r>
    </w:p>
    <w:p>
      <w:pPr>
        <w:pStyle w:val="Heading3"/>
        <w:spacing w:after="120" w:before="220"/>
      </w:pPr>
      <w:r>
        <w:rPr>
          <w:rFonts w:ascii="Arial" w:cs="Arial" w:eastAsia="Arial" w:hAnsi="Arial"/>
          <w:b/>
          <w:bCs/>
          <w:color w:val="6B3FA0"/>
          <w:sz w:val="26"/>
          <w:szCs w:val="26"/>
        </w:rPr>
        <w:t xml:space="preserve">Is this a medical device?</w:t>
      </w:r>
    </w:p>
    <w:p>
      <w:pPr>
        <w:spacing w:after="240" w:before="0" w:line="320"/>
        <w:jc w:val="left"/>
      </w:pPr>
      <w:r>
        <w:rPr>
          <w:rFonts w:ascii="Arial" w:cs="Arial" w:eastAsia="Arial" w:hAnsi="Arial"/>
          <w:b w:val="false"/>
          <w:bCs w:val="false"/>
          <w:i w:val="false"/>
          <w:iCs w:val="false"/>
          <w:color w:val="4A3E2E"/>
          <w:sz w:val="22"/>
          <w:szCs w:val="22"/>
        </w:rPr>
        <w:t xml:space="preserve">No. Explorer APK and the Special Needs Detector are informational tools designed to help families and therapists. They do not diagnose, do not prescribe, and do not replace professional medical care. For medical concerns, always consult a qualified healthcare professional. In emergencies, dial your local emergency number.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
        <w:gridCol w:w="8660"/>
      </w:tblGrid>
      <w:tr>
        <w:tc>
          <w:tcPr>
            <w:tcW w:type="dxa" w:w="700"/>
            <w:tcBorders>
              <w:top w:val="none" w:color="FFFFFF" w:sz="0"/>
              <w:left w:val="none" w:color="FFFFFF" w:sz="0"/>
              <w:bottom w:val="none" w:color="FFFFFF" w:sz="0"/>
              <w:right w:val="none" w:color="FFFFFF" w:sz="0"/>
            </w:tcBorders>
            <w:shd w:fill="FDF3E0" w:val="clear"/>
            <w:tcMar>
              <w:top w:type="dxa" w:w="160"/>
              <w:left w:type="dxa" w:w="160"/>
              <w:bottom w:type="dxa" w:w="160"/>
              <w:right w:type="dxa" w:w="80"/>
            </w:tcMar>
            <w:vAlign w:val="top"/>
          </w:tcPr>
          <w:p>
            <w:pPr>
              <w:jc w:val="center"/>
            </w:pPr>
            <w:r>
              <w:rPr>
                <w:rFonts w:ascii="Arial" w:cs="Arial" w:eastAsia="Arial" w:hAnsi="Arial"/>
                <w:b/>
                <w:bCs/>
                <w:color w:val="B86A18"/>
                <w:sz w:val="36"/>
                <w:szCs w:val="36"/>
              </w:rPr>
              <w:t xml:space="preserve">!</w:t>
            </w:r>
          </w:p>
        </w:tc>
        <w:tc>
          <w:tcPr>
            <w:tcW w:type="dxa" w:w="8660"/>
            <w:tcBorders>
              <w:top w:val="none" w:color="FFFFFF" w:sz="0"/>
              <w:left w:val="none" w:color="FFFFFF" w:sz="0"/>
              <w:bottom w:val="none" w:color="FFFFFF" w:sz="0"/>
              <w:right w:val="none" w:color="FFFFFF" w:sz="0"/>
            </w:tcBorders>
            <w:shd w:fill="FDF3E0" w:val="clear"/>
            <w:tcMar>
              <w:top w:type="dxa" w:w="160"/>
              <w:left w:type="dxa" w:w="120"/>
              <w:bottom w:type="dxa" w:w="160"/>
              <w:right w:type="dxa" w:w="200"/>
            </w:tcMar>
          </w:tcPr>
          <w:p>
            <w:pPr>
              <w:spacing w:after="80"/>
            </w:pPr>
            <w:r>
              <w:rPr>
                <w:rFonts w:ascii="Arial" w:cs="Arial" w:eastAsia="Arial" w:hAnsi="Arial"/>
                <w:b/>
                <w:bCs/>
                <w:color w:val="B86A18"/>
                <w:sz w:val="22"/>
                <w:szCs w:val="22"/>
              </w:rPr>
              <w:t xml:space="preserve">Not a medical device</w:t>
            </w:r>
          </w:p>
          <w:p>
            <w:pPr>
              <w:spacing w:after="0" w:line="300"/>
            </w:pPr>
            <w:r>
              <w:rPr>
                <w:rFonts w:ascii="Arial" w:cs="Arial" w:eastAsia="Arial" w:hAnsi="Arial"/>
                <w:color w:val="4A3E2E"/>
                <w:sz w:val="20"/>
                <w:szCs w:val="20"/>
              </w:rPr>
              <w:t xml:space="preserve">AlvoTriX provides informational insights to help you notice patterns and support your child. It is not a certified medical device and does not replace clinical care. Always consult your child’s healthcare providers for medical decisions.</w:t>
            </w:r>
          </w:p>
        </w:tc>
      </w:tr>
    </w:tbl>
    <w:p>
      <w:pPr>
        <w:spacing w:after="240" w:before="0"/>
      </w:pPr>
      <w:r>
        <w:rPr>
          <w:rFonts w:ascii="Arial" w:cs="Arial" w:eastAsia="Arial" w:hAnsi="Arial"/>
          <w:b w:val="false"/>
          <w:bCs w:val="false"/>
          <w:i w:val="false"/>
          <w:iCs w:val="false"/>
          <w:color w:val="4A3E2E"/>
          <w:sz w:val="22"/>
          <w:szCs w:val="22"/>
        </w:rPr>
        <w:t xml:space="preserve"/>
      </w:r>
    </w:p>
    <w:p>
      <w:r>
        <w:br w:type="page"/>
      </w:r>
    </w:p>
    <w:p>
      <w:pPr>
        <w:spacing w:after="80" w:before="0"/>
      </w:pPr>
      <w:r>
        <w:rPr>
          <w:rFonts w:ascii="Arial" w:cs="Arial" w:eastAsia="Arial" w:hAnsi="Arial"/>
          <w:b/>
          <w:bCs/>
          <w:color w:val="C8301C"/>
          <w:spacing w:val="40"/>
          <w:sz w:val="18"/>
          <w:szCs w:val="18"/>
        </w:rPr>
        <w:t xml:space="preserve">WELCOME TO THE FAMILY</w:t>
      </w:r>
    </w:p>
    <w:p>
      <w:pPr>
        <w:pStyle w:val="Heading1"/>
        <w:spacing w:after="200" w:before="360"/>
      </w:pPr>
      <w:r>
        <w:rPr>
          <w:rFonts w:ascii="Arial" w:cs="Arial" w:eastAsia="Arial" w:hAnsi="Arial"/>
          <w:b/>
          <w:bCs/>
          <w:color w:val="C8301C"/>
          <w:sz w:val="44"/>
          <w:szCs w:val="44"/>
        </w:rPr>
        <w:t xml:space="preserve">A note from the AlvoTriX team</w:t>
      </w:r>
    </w:p>
    <w:p>
      <w:pPr>
        <w:spacing w:after="80" w:before="0"/>
      </w:pPr>
      <w:r>
        <w:rPr>
          <w:rFonts w:ascii="Arial" w:cs="Arial" w:eastAsia="Arial" w:hAnsi="Arial"/>
          <w:b w:val="false"/>
          <w:bCs w:val="false"/>
          <w:i w:val="false"/>
          <w:iCs w:val="false"/>
          <w:color w:val="4A3E2E"/>
          <w:sz w:val="22"/>
          <w:szCs w:val="22"/>
        </w:rPr>
        <w:t xml:space="preserve"/>
      </w:r>
    </w:p>
    <w:p>
      <w:pPr>
        <w:spacing w:after="160" w:before="0" w:line="320"/>
        <w:jc w:val="left"/>
      </w:pPr>
      <w:r>
        <w:rPr>
          <w:rFonts w:ascii="Arial" w:cs="Arial" w:eastAsia="Arial" w:hAnsi="Arial"/>
          <w:b w:val="false"/>
          <w:bCs w:val="false"/>
          <w:i w:val="false"/>
          <w:iCs w:val="false"/>
          <w:color w:val="4A3E2E"/>
          <w:sz w:val="22"/>
          <w:szCs w:val="22"/>
        </w:rPr>
        <w:t xml:space="preserve">We built Explorer for a very specific reason.</w:t>
      </w:r>
    </w:p>
    <w:p>
      <w:pPr>
        <w:spacing w:after="160" w:before="0" w:line="320"/>
        <w:jc w:val="left"/>
      </w:pPr>
      <w:r>
        <w:rPr>
          <w:rFonts w:ascii="Arial" w:cs="Arial" w:eastAsia="Arial" w:hAnsi="Arial"/>
          <w:b w:val="false"/>
          <w:bCs w:val="false"/>
          <w:i w:val="false"/>
          <w:iCs w:val="false"/>
          <w:color w:val="4A3E2E"/>
          <w:sz w:val="22"/>
          <w:szCs w:val="22"/>
        </w:rPr>
        <w:t xml:space="preserve">We had spent years watching the parents of children on the autism and ADHD spectrums performing an invisible, unsustainable task: continuous vigilance. Scanning every sound, every gesture, every subtle shift in their child’s state — for hours, for days, for years — because there was no other way to stay ahead of what was coming.</w:t>
      </w:r>
    </w:p>
    <w:p>
      <w:pPr>
        <w:spacing w:after="160" w:before="0" w:line="320"/>
        <w:jc w:val="left"/>
      </w:pPr>
      <w:r>
        <w:rPr>
          <w:rFonts w:ascii="Arial" w:cs="Arial" w:eastAsia="Arial" w:hAnsi="Arial"/>
          <w:b w:val="false"/>
          <w:bCs w:val="false"/>
          <w:i w:val="false"/>
          <w:iCs w:val="false"/>
          <w:color w:val="4A3E2E"/>
          <w:sz w:val="22"/>
          <w:szCs w:val="22"/>
        </w:rPr>
        <w:t xml:space="preserve">We thought: what if a well-designed system could do that watching? Not the parenting. Only the vigilance.</w:t>
      </w:r>
    </w:p>
    <w:p>
      <w:pPr>
        <w:spacing w:after="240" w:before="0" w:line="320"/>
        <w:jc w:val="left"/>
      </w:pPr>
      <w:r>
        <w:rPr>
          <w:rFonts w:ascii="Arial" w:cs="Arial" w:eastAsia="Arial" w:hAnsi="Arial"/>
          <w:b w:val="false"/>
          <w:bCs w:val="false"/>
          <w:i w:val="false"/>
          <w:iCs w:val="false"/>
          <w:color w:val="4A3E2E"/>
          <w:sz w:val="22"/>
          <w:szCs w:val="22"/>
        </w:rPr>
        <w:t xml:space="preserve">Explorer is our answer. It is a small world on your phone, paired to your child’s wearable, that knows them, meets them where they are, and quietly helps them regulate — while the AI in the background finally does the watching you have been doing alone. </w:t>
      </w:r>
      <w:r>
        <w:rPr>
          <w:rFonts w:ascii="Arial" w:cs="Arial" w:eastAsia="Arial" w:hAnsi="Arial"/>
          <w:b/>
          <w:bCs/>
          <w:i/>
          <w:iCs/>
          <w:color w:val="1C1408"/>
          <w:sz w:val="22"/>
          <w:szCs w:val="22"/>
        </w:rPr>
        <w:t xml:space="preserve">You don’t have to do it all, anymore.</w:t>
      </w:r>
    </w:p>
    <w:p>
      <w:pPr>
        <w:spacing w:after="100" w:before="0" w:line="320"/>
        <w:jc w:val="left"/>
      </w:pPr>
      <w:r>
        <w:rPr>
          <w:rFonts w:ascii="Arial" w:cs="Arial" w:eastAsia="Arial" w:hAnsi="Arial"/>
          <w:b/>
          <w:bCs/>
          <w:i w:val="false"/>
          <w:iCs w:val="false"/>
          <w:color w:val="1C1408"/>
          <w:sz w:val="22"/>
          <w:szCs w:val="22"/>
        </w:rPr>
        <w:t xml:space="preserve">Thank you for trusting us with your family.</w:t>
      </w:r>
    </w:p>
    <w:p>
      <w:pPr>
        <w:spacing w:after="240" w:before="0" w:line="320"/>
        <w:jc w:val="left"/>
      </w:pPr>
      <w:r>
        <w:rPr>
          <w:rFonts w:ascii="Arial" w:cs="Arial" w:eastAsia="Arial" w:hAnsi="Arial"/>
          <w:b w:val="false"/>
          <w:bCs w:val="false"/>
          <w:i/>
          <w:iCs/>
          <w:color w:val="8B7B65"/>
          <w:sz w:val="22"/>
          <w:szCs w:val="22"/>
        </w:rPr>
        <w:t xml:space="preserve">— The AlvoTriX Team</w:t>
      </w:r>
    </w:p>
    <w:p>
      <w:pPr>
        <w:spacing w:after="200" w:before="0"/>
      </w:pPr>
      <w:r>
        <w:rPr>
          <w:rFonts w:ascii="Arial" w:cs="Arial" w:eastAsia="Arial" w:hAnsi="Arial"/>
          <w:b w:val="false"/>
          <w:bCs w:val="false"/>
          <w:i w:val="false"/>
          <w:iCs w:val="false"/>
          <w:color w:val="4A3E2E"/>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AF5EC" w:val="clear"/>
            <w:tcMar>
              <w:top w:type="dxa" w:w="280"/>
              <w:left w:type="dxa" w:w="360"/>
              <w:bottom w:type="dxa" w:w="280"/>
              <w:right w:type="dxa" w:w="360"/>
            </w:tcMar>
          </w:tcPr>
          <w:p>
            <w:pPr>
              <w:spacing w:after="80"/>
              <w:jc w:val="center"/>
            </w:pPr>
            <w:r>
              <w:rPr>
                <w:rFonts w:ascii="Arial" w:cs="Arial" w:eastAsia="Arial" w:hAnsi="Arial"/>
                <w:b/>
                <w:bCs/>
                <w:color w:val="8B7B65"/>
                <w:spacing w:val="80"/>
                <w:sz w:val="18"/>
                <w:szCs w:val="18"/>
              </w:rPr>
              <w:t xml:space="preserve">NEED HELP?</w:t>
            </w:r>
          </w:p>
          <w:p>
            <w:pPr>
              <w:spacing w:after="60"/>
              <w:jc w:val="center"/>
            </w:pPr>
            <w:r>
              <w:rPr>
                <w:rFonts w:ascii="Arial" w:cs="Arial" w:eastAsia="Arial" w:hAnsi="Arial"/>
                <w:b/>
                <w:bCs/>
                <w:color w:val="C8301C"/>
                <w:sz w:val="24"/>
                <w:szCs w:val="24"/>
              </w:rPr>
              <w:t xml:space="preserve">contact@alvotrix.com</w:t>
            </w:r>
          </w:p>
          <w:p>
            <w:pPr>
              <w:spacing w:after="0"/>
              <w:jc w:val="center"/>
            </w:pPr>
            <w:r>
              <w:rPr>
                <w:rFonts w:ascii="Arial" w:cs="Arial" w:eastAsia="Arial" w:hAnsi="Arial"/>
                <w:i/>
                <w:iCs/>
                <w:color w:val="8B7B65"/>
                <w:sz w:val="18"/>
                <w:szCs w:val="18"/>
              </w:rPr>
              <w:t xml:space="preserve">Our team typically replies within 24 business hours</w:t>
            </w:r>
          </w:p>
        </w:tc>
      </w:tr>
    </w:tbl>
    <w:sectPr>
      <w:headerReference w:type="default" r:id="rId7"/>
      <w:footerReference w:type="default" r:id="rId8"/>
      <w:pgSz w:w="12240" w:h="15840" w:orient="portrait"/>
      <w:pgMar w:top="1080" w:right="1440" w:bottom="108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8B7B65"/>
        <w:sz w:val="16"/>
        <w:szCs w:val="16"/>
      </w:rPr>
      <w:t xml:space="preserve">AlvoTriX  ·  </w:t>
    </w:r>
    <w:r>
      <w:rPr>
        <w:rFonts w:ascii="Arial" w:cs="Arial" w:eastAsia="Arial" w:hAnsi="Arial"/>
        <w:b/>
        <w:bCs/>
        <w:color w:val="C8301C"/>
        <w:sz w:val="16"/>
        <w:szCs w:val="16"/>
      </w:rPr>
      <w:t xml:space="preserve">contact@alvotrix.com</w:t>
    </w:r>
    <w:r>
      <w:rPr>
        <w:rFonts w:ascii="Arial" w:cs="Arial" w:eastAsia="Arial" w:hAnsi="Arial"/>
        <w:color w:val="8B7B65"/>
        <w:sz w:val="16"/>
        <w:szCs w:val="16"/>
      </w:rPr>
      <w:t xml:space="preserve">  ·  www.alvotrix.com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color w:val="8B7B65"/>
        <w:sz w:val="16"/>
        <w:szCs w:val="16"/>
      </w:rPr>
      <w:t xml:space="preserve">AlvoTriX Explorer APK  ·  Welcome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rPr>
        <w:color w:val="6B3FA0"/>
      </w:rPr>
    </w:lvl>
  </w:abstractNum>
  <w:abstractNum w:abstractNumId="3" w15:restartNumberingAfterBreak="0">
    <w:multiLevelType w:val="hybridMultilevel"/>
    <w:lvl w:ilvl="0" w15:tentative="1">
      <w:start w:val="1"/>
      <w:numFmt w:val="decimal"/>
      <w:lvlText w:val="%1."/>
      <w:lvlJc w:val="left"/>
      <w:pPr>
        <w:ind w:left="540" w:hanging="360"/>
      </w:pPr>
      <w:rPr>
        <w:b/>
        <w:bCs/>
        <w:color w:val="1C1408"/>
      </w:r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4A3E2E"/>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C8301C"/>
      <w:sz w:val="44"/>
      <w:szCs w:val="44"/>
    </w:rPr>
  </w:style>
  <w:style w:type="paragraph" w:styleId="Heading2">
    <w:name w:val="Heading 2"/>
    <w:basedOn w:val="Normal"/>
    <w:next w:val="Normal"/>
    <w:qFormat/>
    <w:pPr>
      <w:spacing w:after="160" w:before="320"/>
      <w:outlineLvl w:val="1"/>
    </w:pPr>
    <w:rPr>
      <w:rFonts w:ascii="Arial" w:cs="Arial" w:eastAsia="Arial" w:hAnsi="Arial"/>
      <w:b/>
      <w:bCs/>
      <w:color w:val="1C1408"/>
      <w:sz w:val="30"/>
      <w:szCs w:val="30"/>
    </w:rPr>
  </w:style>
  <w:style w:type="paragraph" w:styleId="Heading3">
    <w:name w:val="Heading 3"/>
    <w:basedOn w:val="Normal"/>
    <w:next w:val="Normal"/>
    <w:qFormat/>
    <w:pPr>
      <w:spacing w:after="120" w:before="220"/>
      <w:outlineLvl w:val="2"/>
    </w:pPr>
    <w:rPr>
      <w:rFonts w:ascii="Arial" w:cs="Arial" w:eastAsia="Arial" w:hAnsi="Arial"/>
      <w:b/>
      <w:bCs/>
      <w:color w:val="6B3FA0"/>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Explorer APK — Welcome Guide</dc:title>
  <dc:creator>AlvoTriX</dc:creator>
  <dc:description>Onboarding guide for Explorer APK Special Needs Program</dc:description>
  <cp:lastModifiedBy>Un-named</cp:lastModifiedBy>
  <cp:revision>1</cp:revision>
  <dcterms:created xsi:type="dcterms:W3CDTF">2026-04-19T07:11:50.710Z</dcterms:created>
  <dcterms:modified xsi:type="dcterms:W3CDTF">2026-04-19T07:11:50.710Z</dcterms:modified>
</cp:coreProperties>
</file>

<file path=docProps/custom.xml><?xml version="1.0" encoding="utf-8"?>
<Properties xmlns="http://schemas.openxmlformats.org/officeDocument/2006/custom-properties" xmlns:vt="http://schemas.openxmlformats.org/officeDocument/2006/docPropsVTypes"/>
</file>